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outlineLvl w:val="0"/>
        <w:rPr>
          <w:rFonts w:ascii="宋体" w:hAnsi="宋体"/>
          <w:szCs w:val="21"/>
          <w:u w:val="single"/>
        </w:rPr>
      </w:pPr>
      <w:r>
        <w:rPr>
          <w:rFonts w:hint="eastAsia" w:ascii="宋体" w:hAnsi="宋体"/>
          <w:bCs/>
          <w:szCs w:val="32"/>
        </w:rPr>
        <w:t>附表</w:t>
      </w:r>
      <w:r>
        <w:rPr>
          <w:rFonts w:hint="eastAsia" w:ascii="宋体" w:hAnsi="宋体"/>
          <w:bCs/>
          <w:szCs w:val="32"/>
          <w:lang w:val="en-US" w:eastAsia="zh-CN"/>
        </w:rPr>
        <w:t>5</w:t>
      </w:r>
      <w:r>
        <w:rPr>
          <w:rFonts w:hint="eastAsia" w:ascii="宋体" w:hAnsi="宋体"/>
          <w:bCs/>
          <w:szCs w:val="32"/>
        </w:rPr>
        <w:t>-</w:t>
      </w:r>
      <w:r>
        <w:rPr>
          <w:rFonts w:ascii="宋体" w:hAnsi="宋体"/>
          <w:bCs/>
          <w:szCs w:val="32"/>
        </w:rPr>
        <w:t>2</w:t>
      </w:r>
      <w:r>
        <w:rPr>
          <w:rFonts w:ascii="宋体" w:hAnsi="宋体"/>
          <w:sz w:val="24"/>
        </w:rPr>
        <w:t>(CSTM</w:t>
      </w:r>
      <w:r>
        <w:rPr>
          <w:rFonts w:hint="eastAsia" w:ascii="宋体" w:hAnsi="宋体"/>
          <w:sz w:val="24"/>
        </w:rPr>
        <w:t>-DL01:2020</w:t>
      </w:r>
      <w:r>
        <w:rPr>
          <w:rFonts w:ascii="宋体" w:hAnsi="宋体"/>
          <w:sz w:val="24"/>
        </w:rPr>
        <w:t>)</w:t>
      </w:r>
    </w:p>
    <w:p>
      <w:pPr>
        <w:snapToGrid w:val="0"/>
        <w:jc w:val="center"/>
        <w:rPr>
          <w:rFonts w:ascii="黑体" w:hAnsi="宋体" w:eastAsia="黑体"/>
          <w:b/>
          <w:sz w:val="32"/>
          <w:szCs w:val="32"/>
        </w:rPr>
      </w:pPr>
      <w:r>
        <w:rPr>
          <w:rFonts w:hint="eastAsia" w:ascii="黑体" w:hAnsi="宋体" w:eastAsia="黑体"/>
          <w:b/>
          <w:sz w:val="32"/>
          <w:szCs w:val="32"/>
        </w:rPr>
        <w:t>《CSTM试验技术能力评价准则--生产现场工业检测技术能力附加要求》体系核查表</w:t>
      </w:r>
    </w:p>
    <w:p>
      <w:pPr>
        <w:spacing w:line="360" w:lineRule="auto"/>
        <w:rPr>
          <w:rFonts w:ascii="宋体" w:hAnsi="宋体"/>
          <w:b/>
          <w:sz w:val="24"/>
        </w:rPr>
      </w:pPr>
      <w:r>
        <w:rPr>
          <w:rFonts w:hint="eastAsia" w:ascii="宋体" w:hAnsi="宋体"/>
          <w:b/>
          <w:sz w:val="24"/>
        </w:rPr>
        <w:t>6资源要求</w:t>
      </w:r>
    </w:p>
    <w:tbl>
      <w:tblPr>
        <w:tblStyle w:val="6"/>
        <w:tblW w:w="145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056"/>
        <w:gridCol w:w="5088"/>
        <w:gridCol w:w="3036"/>
        <w:gridCol w:w="2019"/>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86" w:hRule="atLeast"/>
          <w:tblHeader/>
        </w:trPr>
        <w:tc>
          <w:tcPr>
            <w:tcW w:w="1056" w:type="dxa"/>
            <w:vAlign w:val="center"/>
          </w:tcPr>
          <w:p>
            <w:pPr>
              <w:spacing w:line="300" w:lineRule="auto"/>
              <w:jc w:val="center"/>
              <w:rPr>
                <w:rFonts w:ascii="宋体" w:hAnsi="宋体"/>
                <w:b/>
                <w:sz w:val="24"/>
              </w:rPr>
            </w:pPr>
            <w:r>
              <w:rPr>
                <w:rFonts w:hint="eastAsia" w:ascii="宋体" w:hAnsi="宋体"/>
                <w:b/>
                <w:sz w:val="24"/>
              </w:rPr>
              <w:t>条 款</w:t>
            </w:r>
          </w:p>
        </w:tc>
        <w:tc>
          <w:tcPr>
            <w:tcW w:w="5088" w:type="dxa"/>
            <w:vAlign w:val="center"/>
          </w:tcPr>
          <w:p>
            <w:pPr>
              <w:spacing w:line="300" w:lineRule="auto"/>
              <w:jc w:val="center"/>
              <w:rPr>
                <w:rFonts w:ascii="宋体" w:hAnsi="宋体"/>
                <w:b/>
                <w:sz w:val="24"/>
              </w:rPr>
            </w:pPr>
            <w:r>
              <w:rPr>
                <w:rFonts w:hint="eastAsia" w:ascii="宋体" w:hAnsi="宋体"/>
                <w:b/>
                <w:sz w:val="24"/>
              </w:rPr>
              <w:t>核     查    内    容</w:t>
            </w:r>
          </w:p>
        </w:tc>
        <w:tc>
          <w:tcPr>
            <w:tcW w:w="3036" w:type="dxa"/>
            <w:vAlign w:val="center"/>
          </w:tcPr>
          <w:p>
            <w:pPr>
              <w:spacing w:line="300" w:lineRule="auto"/>
              <w:jc w:val="center"/>
              <w:rPr>
                <w:rFonts w:ascii="宋体" w:hAnsi="宋体"/>
                <w:b/>
                <w:sz w:val="24"/>
              </w:rPr>
            </w:pPr>
            <w:r>
              <w:rPr>
                <w:rFonts w:hint="eastAsia" w:ascii="宋体" w:hAnsi="宋体"/>
                <w:b/>
                <w:sz w:val="24"/>
              </w:rPr>
              <w:t>对应的质量管理体系文件名称、编号及章节/条款号</w:t>
            </w:r>
          </w:p>
        </w:tc>
        <w:tc>
          <w:tcPr>
            <w:tcW w:w="2019" w:type="dxa"/>
            <w:vAlign w:val="center"/>
          </w:tcPr>
          <w:p>
            <w:pPr>
              <w:spacing w:line="300" w:lineRule="auto"/>
              <w:jc w:val="center"/>
              <w:rPr>
                <w:rFonts w:ascii="宋体" w:hAnsi="宋体"/>
                <w:b/>
                <w:sz w:val="24"/>
              </w:rPr>
            </w:pPr>
            <w:r>
              <w:rPr>
                <w:rFonts w:hint="eastAsia" w:ascii="宋体" w:hAnsi="宋体"/>
                <w:b/>
                <w:sz w:val="24"/>
              </w:rPr>
              <w:t>自查结果说明</w:t>
            </w:r>
          </w:p>
        </w:tc>
        <w:tc>
          <w:tcPr>
            <w:tcW w:w="3381" w:type="dxa"/>
            <w:vAlign w:val="center"/>
          </w:tcPr>
          <w:p>
            <w:pPr>
              <w:spacing w:line="30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5"/>
            <w:shd w:val="pct10" w:color="auto" w:fill="FFFFFF"/>
            <w:vAlign w:val="center"/>
          </w:tcPr>
          <w:p>
            <w:pPr>
              <w:spacing w:line="300" w:lineRule="auto"/>
              <w:rPr>
                <w:rFonts w:ascii="Arial" w:hAnsi="Arial" w:cs="Arial"/>
                <w:b/>
                <w:sz w:val="24"/>
              </w:rPr>
            </w:pPr>
            <w:r>
              <w:rPr>
                <w:rFonts w:hint="eastAsia" w:ascii="宋体" w:hAnsi="宋体"/>
                <w:b/>
                <w:sz w:val="24"/>
              </w:rPr>
              <w:t>6</w:t>
            </w:r>
            <w:r>
              <w:rPr>
                <w:rFonts w:ascii="宋体" w:hAnsi="宋体"/>
                <w:b/>
                <w:sz w:val="24"/>
              </w:rPr>
              <w:t>.</w:t>
            </w:r>
            <w:r>
              <w:rPr>
                <w:rFonts w:hint="eastAsia" w:ascii="宋体" w:hAnsi="宋体"/>
                <w:b/>
                <w:sz w:val="24"/>
              </w:rPr>
              <w:t>1</w:t>
            </w:r>
            <w:r>
              <w:rPr>
                <w:rFonts w:ascii="宋体" w:hAnsi="宋体"/>
                <w:b/>
                <w:sz w:val="24"/>
              </w:rPr>
              <w:t xml:space="preserve"> </w:t>
            </w:r>
            <w:r>
              <w:rPr>
                <w:rFonts w:hint="eastAsia" w:ascii="宋体" w:hAnsi="宋体"/>
                <w:b/>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37" w:hRule="atLeast"/>
        </w:trPr>
        <w:tc>
          <w:tcPr>
            <w:tcW w:w="1056" w:type="dxa"/>
            <w:vAlign w:val="center"/>
          </w:tcPr>
          <w:p>
            <w:pPr>
              <w:spacing w:line="300" w:lineRule="auto"/>
              <w:jc w:val="center"/>
              <w:rPr>
                <w:rFonts w:ascii="宋体" w:hAnsi="宋体"/>
                <w:sz w:val="24"/>
              </w:rPr>
            </w:pPr>
            <w:r>
              <w:rPr>
                <w:rFonts w:hint="eastAsia" w:ascii="仿宋" w:hAnsi="仿宋" w:eastAsia="仿宋"/>
                <w:position w:val="1"/>
                <w:sz w:val="24"/>
              </w:rPr>
              <w:t>6.1.1</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应在相关文件中规定对检测人员和关键技术人员的学历、职称或同等能力的要求</w:t>
            </w:r>
            <w:r>
              <w:rPr>
                <w:rFonts w:hint="eastAsia" w:ascii="宋体" w:hAnsi="宋体" w:cs="宋体"/>
                <w:kern w:val="0"/>
                <w:sz w:val="24"/>
              </w:rPr>
              <w:t>。</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6.1.2</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应制定计划对检测人员进行所从事检测技术的培训并考核，证明其掌握检测技术相关的基本原理、仪器操作</w:t>
            </w:r>
            <w:bookmarkStart w:id="2" w:name="_GoBack"/>
            <w:bookmarkEnd w:id="2"/>
            <w:r>
              <w:rPr>
                <w:rFonts w:hint="eastAsia" w:ascii="宋体" w:hAnsi="宋体"/>
                <w:sz w:val="24"/>
              </w:rPr>
              <w:t>、方法应用和数据处理的能力。检测人员应被授权，方可上岗操作相关仪器设备。</w:t>
            </w:r>
            <w:r>
              <w:rPr>
                <w:rFonts w:ascii="宋体" w:hAnsi="宋体"/>
                <w:sz w:val="24"/>
              </w:rPr>
              <w:t>培训</w:t>
            </w:r>
            <w:r>
              <w:rPr>
                <w:rFonts w:hint="eastAsia" w:ascii="宋体" w:hAnsi="宋体"/>
                <w:sz w:val="24"/>
              </w:rPr>
              <w:t>考核</w:t>
            </w:r>
            <w:r>
              <w:rPr>
                <w:rFonts w:ascii="宋体" w:hAnsi="宋体"/>
                <w:sz w:val="24"/>
              </w:rPr>
              <w:t>应由具备资质或能力的人员实施。</w:t>
            </w:r>
            <w:r>
              <w:rPr>
                <w:rFonts w:hint="eastAsia" w:ascii="宋体" w:hAnsi="宋体"/>
                <w:sz w:val="24"/>
                <w:lang w:eastAsia="zh-CN"/>
              </w:rPr>
              <w:t>机构</w:t>
            </w:r>
            <w:r>
              <w:rPr>
                <w:rFonts w:hint="eastAsia" w:ascii="宋体" w:hAnsi="宋体"/>
                <w:sz w:val="24"/>
              </w:rPr>
              <w:t>对人员的培训还应包括</w:t>
            </w:r>
            <w:r>
              <w:rPr>
                <w:rFonts w:hint="eastAsia" w:ascii="宋体" w:hAnsi="宋体" w:cs="宋体"/>
                <w:kern w:val="0"/>
                <w:sz w:val="24"/>
              </w:rPr>
              <w:t>质量控制方法、</w:t>
            </w:r>
            <w:r>
              <w:rPr>
                <w:rFonts w:hint="eastAsia" w:ascii="宋体" w:hAnsi="宋体" w:cs="宋体"/>
                <w:kern w:val="0"/>
                <w:sz w:val="24"/>
                <w:lang w:eastAsia="zh-CN"/>
              </w:rPr>
              <w:t>机构</w:t>
            </w:r>
            <w:r>
              <w:rPr>
                <w:rFonts w:hint="eastAsia" w:ascii="宋体" w:hAnsi="宋体" w:cs="宋体"/>
                <w:kern w:val="0"/>
                <w:sz w:val="24"/>
              </w:rPr>
              <w:t>安全和防护等方面的知识。</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5" w:hRule="atLeast"/>
        </w:trPr>
        <w:tc>
          <w:tcPr>
            <w:tcW w:w="1056" w:type="dxa"/>
            <w:vAlign w:val="center"/>
          </w:tcPr>
          <w:p>
            <w:pPr>
              <w:spacing w:line="300" w:lineRule="auto"/>
              <w:jc w:val="center"/>
              <w:rPr>
                <w:sz w:val="24"/>
              </w:rPr>
            </w:pPr>
            <w:r>
              <w:rPr>
                <w:rFonts w:hint="eastAsia" w:ascii="仿宋" w:hAnsi="仿宋" w:eastAsia="仿宋"/>
                <w:position w:val="1"/>
                <w:sz w:val="24"/>
              </w:rPr>
              <w:t>6.1.3</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可以通过质量控制结果，包括检测复验、</w:t>
            </w:r>
            <w:r>
              <w:rPr>
                <w:rFonts w:hint="eastAsia" w:ascii="宋体" w:hAnsi="宋体"/>
                <w:sz w:val="24"/>
                <w:lang w:eastAsia="zh-CN"/>
              </w:rPr>
              <w:t>机构</w:t>
            </w:r>
            <w:r>
              <w:rPr>
                <w:rFonts w:hint="eastAsia" w:ascii="宋体" w:hAnsi="宋体"/>
                <w:sz w:val="24"/>
              </w:rPr>
              <w:t>内比对、能力验证、现场监督实际操作过程、核查记录等方式，</w:t>
            </w:r>
            <w:r>
              <w:rPr>
                <w:rFonts w:hint="eastAsia" w:ascii="宋体" w:hAnsi="宋体" w:cs="Arial"/>
                <w:kern w:val="0"/>
                <w:sz w:val="24"/>
              </w:rPr>
              <w:t>定期评价被授权人员的持续能力，保存评价记录和授权记录。</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6" w:hRule="atLeast"/>
        </w:trPr>
        <w:tc>
          <w:tcPr>
            <w:tcW w:w="14580" w:type="dxa"/>
            <w:gridSpan w:val="5"/>
            <w:tcBorders>
              <w:bottom w:val="single" w:color="auto" w:sz="4" w:space="0"/>
            </w:tcBorders>
            <w:shd w:val="clear" w:color="auto" w:fill="F2F2F2"/>
          </w:tcPr>
          <w:p>
            <w:pPr>
              <w:spacing w:line="300" w:lineRule="auto"/>
              <w:rPr>
                <w:rFonts w:ascii="宋体" w:hAnsi="宋体"/>
                <w:sz w:val="24"/>
                <w:shd w:val="pct10" w:color="auto" w:fill="FFFFFF"/>
              </w:rPr>
            </w:pPr>
            <w:r>
              <w:rPr>
                <w:rFonts w:hint="eastAsia" w:ascii="宋体" w:hAnsi="宋体"/>
                <w:b/>
                <w:sz w:val="24"/>
              </w:rPr>
              <w:t>6.2 设施和环境条件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Merge w:val="restart"/>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6.2.1</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的设施应为自有设施，并拥有设施的全部使用权和支配权，</w:t>
            </w:r>
            <w:r>
              <w:rPr>
                <w:rFonts w:hint="eastAsia" w:ascii="宋体" w:hAnsi="宋体"/>
                <w:sz w:val="24"/>
                <w:lang w:eastAsia="zh-CN"/>
              </w:rPr>
              <w:t>机构</w:t>
            </w:r>
            <w:r>
              <w:rPr>
                <w:rFonts w:hint="eastAsia" w:ascii="宋体" w:hAnsi="宋体"/>
                <w:sz w:val="24"/>
              </w:rPr>
              <w:t>应有充足的设施和场地实施检测活动（包括产品储存空间），对相互干扰的设备必须进行有效的隔离。</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Merge w:val="continue"/>
            <w:tcBorders>
              <w:bottom w:val="single" w:color="auto" w:sz="4" w:space="0"/>
            </w:tcBorders>
            <w:vAlign w:val="center"/>
          </w:tcPr>
          <w:p>
            <w:pPr>
              <w:spacing w:line="300" w:lineRule="auto"/>
              <w:jc w:val="center"/>
              <w:rPr>
                <w:rFonts w:ascii="仿宋" w:hAnsi="仿宋" w:eastAsia="仿宋"/>
                <w:position w:val="1"/>
                <w:sz w:val="24"/>
              </w:rPr>
            </w:pPr>
          </w:p>
        </w:tc>
        <w:tc>
          <w:tcPr>
            <w:tcW w:w="13524" w:type="dxa"/>
            <w:gridSpan w:val="4"/>
            <w:tcBorders>
              <w:bottom w:val="single" w:color="auto" w:sz="4" w:space="0"/>
            </w:tcBorders>
          </w:tcPr>
          <w:p>
            <w:pPr>
              <w:spacing w:line="300" w:lineRule="auto"/>
              <w:ind w:left="720" w:hanging="720" w:hangingChars="300"/>
              <w:rPr>
                <w:rFonts w:ascii="宋体" w:hAnsi="宋体"/>
                <w:sz w:val="24"/>
              </w:rPr>
            </w:pPr>
            <w:r>
              <w:rPr>
                <w:rFonts w:hint="eastAsia" w:ascii="宋体" w:hAnsi="宋体"/>
                <w:sz w:val="24"/>
              </w:rPr>
              <w:t>注 1：自有设施是指购买或长期租赁（至少 2 年）并拥有完全使用权和支配权的设施。如果</w:t>
            </w:r>
            <w:r>
              <w:rPr>
                <w:rFonts w:hint="eastAsia" w:ascii="宋体" w:hAnsi="宋体"/>
                <w:sz w:val="24"/>
                <w:lang w:eastAsia="zh-CN"/>
              </w:rPr>
              <w:t>机构</w:t>
            </w:r>
            <w:r>
              <w:rPr>
                <w:rFonts w:hint="eastAsia" w:ascii="宋体" w:hAnsi="宋体"/>
                <w:sz w:val="24"/>
              </w:rPr>
              <w:t>通过签订合同，在有检测任务时临时使用其他机构的设施，不能视为自有设施。</w:t>
            </w:r>
          </w:p>
          <w:p>
            <w:pPr>
              <w:spacing w:line="300" w:lineRule="auto"/>
              <w:ind w:left="720" w:hanging="720" w:hangingChars="300"/>
              <w:rPr>
                <w:rFonts w:ascii="宋体" w:hAnsi="宋体"/>
                <w:sz w:val="24"/>
              </w:rPr>
            </w:pPr>
            <w:r>
              <w:rPr>
                <w:rFonts w:hint="eastAsia" w:ascii="宋体" w:hAnsi="宋体"/>
                <w:sz w:val="24"/>
              </w:rPr>
              <w:t>注 2：如果</w:t>
            </w:r>
            <w:r>
              <w:rPr>
                <w:rFonts w:hint="eastAsia" w:ascii="宋体" w:hAnsi="宋体"/>
                <w:sz w:val="24"/>
                <w:lang w:eastAsia="zh-CN"/>
              </w:rPr>
              <w:t>机构</w:t>
            </w:r>
            <w:r>
              <w:rPr>
                <w:rFonts w:hint="eastAsia" w:ascii="宋体" w:hAnsi="宋体"/>
                <w:sz w:val="24"/>
              </w:rPr>
              <w:t>仅租借场地，不涉及仪器设备则允许租借。当相关规范、检测方法和客户对环境条件有要求时，或环境条件影响结果的有效性时，</w:t>
            </w:r>
            <w:r>
              <w:rPr>
                <w:rFonts w:hint="eastAsia" w:ascii="宋体" w:hAnsi="宋体"/>
                <w:sz w:val="24"/>
                <w:lang w:eastAsia="zh-CN"/>
              </w:rPr>
              <w:t>机构</w:t>
            </w:r>
            <w:r>
              <w:rPr>
                <w:rFonts w:hint="eastAsia" w:ascii="宋体" w:hAnsi="宋体"/>
                <w:sz w:val="24"/>
              </w:rPr>
              <w:t>应监测、控制和记录环境条件。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Merge w:val="restart"/>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6.2.2</w:t>
            </w:r>
          </w:p>
        </w:tc>
        <w:tc>
          <w:tcPr>
            <w:tcW w:w="5088" w:type="dxa"/>
            <w:tcBorders>
              <w:bottom w:val="nil"/>
            </w:tcBorders>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应实施、监控并定期评审控制设施的措施，这些措施包括但不限于：</w:t>
            </w:r>
          </w:p>
        </w:tc>
        <w:tc>
          <w:tcPr>
            <w:tcW w:w="3036" w:type="dxa"/>
            <w:tcBorders>
              <w:bottom w:val="nil"/>
            </w:tcBorders>
          </w:tcPr>
          <w:p>
            <w:pPr>
              <w:spacing w:line="300" w:lineRule="auto"/>
              <w:rPr>
                <w:rFonts w:ascii="宋体" w:hAnsi="宋体"/>
                <w:sz w:val="24"/>
              </w:rPr>
            </w:pPr>
          </w:p>
        </w:tc>
        <w:tc>
          <w:tcPr>
            <w:tcW w:w="2019" w:type="dxa"/>
            <w:tcBorders>
              <w:bottom w:val="nil"/>
            </w:tcBorders>
          </w:tcPr>
          <w:p>
            <w:pPr>
              <w:spacing w:line="300" w:lineRule="auto"/>
              <w:rPr>
                <w:rFonts w:ascii="宋体" w:hAnsi="宋体"/>
                <w:sz w:val="24"/>
              </w:rPr>
            </w:pPr>
          </w:p>
        </w:tc>
        <w:tc>
          <w:tcPr>
            <w:tcW w:w="3381" w:type="dxa"/>
            <w:tcBorders>
              <w:bottom w:val="nil"/>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Merge w:val="continue"/>
            <w:vAlign w:val="center"/>
          </w:tcPr>
          <w:p>
            <w:pPr>
              <w:spacing w:line="300" w:lineRule="auto"/>
              <w:jc w:val="center"/>
              <w:rPr>
                <w:rFonts w:ascii="宋体" w:hAnsi="宋体"/>
                <w:sz w:val="24"/>
              </w:rPr>
            </w:pPr>
          </w:p>
        </w:tc>
        <w:tc>
          <w:tcPr>
            <w:tcW w:w="5088" w:type="dxa"/>
            <w:tcBorders>
              <w:top w:val="nil"/>
              <w:bottom w:val="nil"/>
            </w:tcBorders>
          </w:tcPr>
          <w:p>
            <w:pPr>
              <w:numPr>
                <w:ilvl w:val="0"/>
                <w:numId w:val="1"/>
              </w:numPr>
              <w:spacing w:line="300" w:lineRule="auto"/>
              <w:rPr>
                <w:rFonts w:ascii="宋体" w:hAnsi="宋体"/>
                <w:sz w:val="24"/>
              </w:rPr>
            </w:pPr>
            <w:r>
              <w:rPr>
                <w:rFonts w:hint="eastAsia" w:ascii="宋体" w:hAnsi="宋体"/>
                <w:sz w:val="24"/>
              </w:rPr>
              <w:t>进入和使用影响</w:t>
            </w:r>
            <w:r>
              <w:rPr>
                <w:rFonts w:hint="eastAsia" w:ascii="宋体" w:hAnsi="宋体"/>
                <w:sz w:val="24"/>
                <w:lang w:eastAsia="zh-CN"/>
              </w:rPr>
              <w:t>机构</w:t>
            </w:r>
            <w:r>
              <w:rPr>
                <w:rFonts w:hint="eastAsia" w:ascii="宋体" w:hAnsi="宋体"/>
                <w:sz w:val="24"/>
              </w:rPr>
              <w:t>活动区域的控制；</w:t>
            </w:r>
          </w:p>
          <w:p>
            <w:pPr>
              <w:numPr>
                <w:ilvl w:val="0"/>
                <w:numId w:val="1"/>
              </w:numPr>
              <w:spacing w:line="300" w:lineRule="auto"/>
              <w:rPr>
                <w:rFonts w:ascii="宋体" w:hAnsi="宋体"/>
                <w:sz w:val="24"/>
              </w:rPr>
            </w:pPr>
            <w:r>
              <w:rPr>
                <w:rFonts w:hint="eastAsia" w:ascii="宋体" w:hAnsi="宋体"/>
                <w:sz w:val="24"/>
              </w:rPr>
              <w:t>预防对</w:t>
            </w:r>
            <w:r>
              <w:rPr>
                <w:rFonts w:hint="eastAsia" w:ascii="宋体" w:hAnsi="宋体"/>
                <w:sz w:val="24"/>
                <w:lang w:eastAsia="zh-CN"/>
              </w:rPr>
              <w:t>机构</w:t>
            </w:r>
            <w:r>
              <w:rPr>
                <w:rFonts w:hint="eastAsia" w:ascii="宋体" w:hAnsi="宋体"/>
                <w:sz w:val="24"/>
              </w:rPr>
              <w:t>活动的污染、干扰或不利影响；</w:t>
            </w:r>
          </w:p>
        </w:tc>
        <w:tc>
          <w:tcPr>
            <w:tcW w:w="3036" w:type="dxa"/>
            <w:tcBorders>
              <w:top w:val="nil"/>
              <w:bottom w:val="nil"/>
            </w:tcBorders>
          </w:tcPr>
          <w:p>
            <w:pPr>
              <w:spacing w:line="300" w:lineRule="auto"/>
              <w:rPr>
                <w:rFonts w:ascii="宋体" w:hAnsi="宋体"/>
                <w:sz w:val="24"/>
              </w:rPr>
            </w:pPr>
          </w:p>
        </w:tc>
        <w:tc>
          <w:tcPr>
            <w:tcW w:w="2019" w:type="dxa"/>
            <w:tcBorders>
              <w:top w:val="nil"/>
              <w:bottom w:val="nil"/>
            </w:tcBorders>
          </w:tcPr>
          <w:p>
            <w:pPr>
              <w:spacing w:line="300" w:lineRule="auto"/>
              <w:rPr>
                <w:rFonts w:ascii="宋体" w:hAnsi="宋体"/>
                <w:sz w:val="24"/>
              </w:rPr>
            </w:pPr>
          </w:p>
        </w:tc>
        <w:tc>
          <w:tcPr>
            <w:tcW w:w="3381" w:type="dxa"/>
            <w:tcBorders>
              <w:top w:val="nil"/>
              <w:bottom w:val="nil"/>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Merge w:val="continue"/>
            <w:vAlign w:val="center"/>
          </w:tcPr>
          <w:p>
            <w:pPr>
              <w:spacing w:line="300" w:lineRule="auto"/>
              <w:jc w:val="center"/>
              <w:rPr>
                <w:rFonts w:ascii="宋体" w:hAnsi="宋体"/>
                <w:sz w:val="24"/>
              </w:rPr>
            </w:pPr>
          </w:p>
        </w:tc>
        <w:tc>
          <w:tcPr>
            <w:tcW w:w="5088" w:type="dxa"/>
            <w:tcBorders>
              <w:top w:val="nil"/>
              <w:bottom w:val="nil"/>
            </w:tcBorders>
          </w:tcPr>
          <w:p>
            <w:pPr>
              <w:numPr>
                <w:ilvl w:val="0"/>
                <w:numId w:val="1"/>
              </w:numPr>
              <w:spacing w:line="300" w:lineRule="auto"/>
              <w:rPr>
                <w:rFonts w:ascii="宋体" w:hAnsi="宋体"/>
                <w:sz w:val="24"/>
              </w:rPr>
            </w:pPr>
            <w:r>
              <w:rPr>
                <w:rFonts w:hint="eastAsia" w:ascii="宋体" w:hAnsi="宋体"/>
                <w:sz w:val="24"/>
              </w:rPr>
              <w:t>有效隔离不相容的</w:t>
            </w:r>
            <w:r>
              <w:rPr>
                <w:rFonts w:hint="eastAsia" w:ascii="宋体" w:hAnsi="宋体"/>
                <w:sz w:val="24"/>
                <w:lang w:eastAsia="zh-CN"/>
              </w:rPr>
              <w:t>机构</w:t>
            </w:r>
            <w:r>
              <w:rPr>
                <w:rFonts w:hint="eastAsia" w:ascii="宋体" w:hAnsi="宋体"/>
                <w:sz w:val="24"/>
              </w:rPr>
              <w:t>活动区域。</w:t>
            </w:r>
          </w:p>
        </w:tc>
        <w:tc>
          <w:tcPr>
            <w:tcW w:w="3036" w:type="dxa"/>
            <w:tcBorders>
              <w:top w:val="nil"/>
              <w:bottom w:val="nil"/>
            </w:tcBorders>
          </w:tcPr>
          <w:p>
            <w:pPr>
              <w:spacing w:line="300" w:lineRule="auto"/>
              <w:rPr>
                <w:rFonts w:ascii="宋体" w:hAnsi="宋体"/>
                <w:sz w:val="24"/>
              </w:rPr>
            </w:pPr>
          </w:p>
        </w:tc>
        <w:tc>
          <w:tcPr>
            <w:tcW w:w="2019" w:type="dxa"/>
            <w:tcBorders>
              <w:top w:val="nil"/>
              <w:bottom w:val="nil"/>
            </w:tcBorders>
          </w:tcPr>
          <w:p>
            <w:pPr>
              <w:spacing w:line="300" w:lineRule="auto"/>
              <w:rPr>
                <w:rFonts w:ascii="宋体" w:hAnsi="宋体"/>
                <w:sz w:val="24"/>
              </w:rPr>
            </w:pPr>
          </w:p>
        </w:tc>
        <w:tc>
          <w:tcPr>
            <w:tcW w:w="3381" w:type="dxa"/>
            <w:tcBorders>
              <w:top w:val="nil"/>
              <w:bottom w:val="nil"/>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tcBorders>
              <w:bottom w:val="single" w:color="auto" w:sz="4" w:space="0"/>
            </w:tcBorders>
            <w:vAlign w:val="center"/>
          </w:tcPr>
          <w:p>
            <w:pPr>
              <w:spacing w:line="300" w:lineRule="auto"/>
              <w:jc w:val="center"/>
              <w:rPr>
                <w:rFonts w:ascii="宋体" w:hAnsi="宋体"/>
                <w:sz w:val="24"/>
              </w:rPr>
            </w:pPr>
            <w:r>
              <w:rPr>
                <w:rFonts w:hint="eastAsia" w:ascii="仿宋" w:hAnsi="仿宋" w:eastAsia="仿宋"/>
                <w:position w:val="1"/>
                <w:sz w:val="24"/>
              </w:rPr>
              <w:t>6.2.3</w:t>
            </w:r>
          </w:p>
        </w:tc>
        <w:tc>
          <w:tcPr>
            <w:tcW w:w="5088" w:type="dxa"/>
            <w:tcBorders>
              <w:bottom w:val="single" w:color="auto" w:sz="4" w:space="0"/>
            </w:tcBorders>
            <w:vAlign w:val="center"/>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对于影响特定检测的设施应有程序保证其正常运行，检测过程中一旦出现设施设备故障造成中断时应及时记录，并评估对正在进行的检测是否有影响。若设施设备故障对检测结果有影响时，</w:t>
            </w:r>
            <w:r>
              <w:rPr>
                <w:rFonts w:hint="eastAsia" w:ascii="宋体" w:hAnsi="宋体"/>
                <w:sz w:val="24"/>
                <w:lang w:eastAsia="zh-CN"/>
              </w:rPr>
              <w:t>机构</w:t>
            </w:r>
            <w:r>
              <w:rPr>
                <w:rFonts w:hint="eastAsia" w:ascii="宋体" w:hAnsi="宋体"/>
                <w:sz w:val="24"/>
              </w:rPr>
              <w:t>应在规定日期内通知相应客户。</w:t>
            </w:r>
          </w:p>
        </w:tc>
        <w:tc>
          <w:tcPr>
            <w:tcW w:w="3036" w:type="dxa"/>
            <w:tcBorders>
              <w:bottom w:val="single" w:color="auto" w:sz="4" w:space="0"/>
            </w:tcBorders>
          </w:tcPr>
          <w:p>
            <w:pPr>
              <w:spacing w:line="300" w:lineRule="auto"/>
              <w:rPr>
                <w:rFonts w:ascii="宋体" w:hAnsi="宋体"/>
                <w:sz w:val="24"/>
              </w:rPr>
            </w:pPr>
          </w:p>
        </w:tc>
        <w:tc>
          <w:tcPr>
            <w:tcW w:w="2019" w:type="dxa"/>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82" w:hRule="atLeast"/>
        </w:trPr>
        <w:tc>
          <w:tcPr>
            <w:tcW w:w="14580" w:type="dxa"/>
            <w:gridSpan w:val="5"/>
            <w:shd w:val="clear" w:color="auto" w:fill="D9D9D9"/>
          </w:tcPr>
          <w:p>
            <w:pPr>
              <w:spacing w:line="300" w:lineRule="auto"/>
              <w:rPr>
                <w:rFonts w:ascii="宋体" w:hAnsi="宋体"/>
                <w:sz w:val="24"/>
              </w:rPr>
            </w:pPr>
            <w:r>
              <w:rPr>
                <w:rFonts w:hint="eastAsia" w:ascii="宋体" w:hAnsi="宋体"/>
                <w:b/>
                <w:sz w:val="24"/>
              </w:rPr>
              <w:t>6.3 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6.3.1</w:t>
            </w:r>
          </w:p>
        </w:tc>
        <w:tc>
          <w:tcPr>
            <w:tcW w:w="5088" w:type="dxa"/>
            <w:tcBorders>
              <w:bottom w:val="single" w:color="auto" w:sz="4" w:space="0"/>
            </w:tcBorders>
            <w:vAlign w:val="center"/>
          </w:tcPr>
          <w:p>
            <w:pPr>
              <w:spacing w:line="300" w:lineRule="auto"/>
              <w:rPr>
                <w:rFonts w:ascii="Arial" w:hAnsi="Arial" w:cs="Arial"/>
                <w:sz w:val="24"/>
              </w:rPr>
            </w:pPr>
            <w:r>
              <w:rPr>
                <w:rFonts w:hint="eastAsia" w:ascii="Arial" w:hAnsi="Arial" w:cs="Arial"/>
                <w:sz w:val="24"/>
                <w:lang w:eastAsia="zh-CN"/>
              </w:rPr>
              <w:t>机构</w:t>
            </w:r>
            <w:r>
              <w:rPr>
                <w:rFonts w:hint="eastAsia" w:ascii="Arial" w:hAnsi="Arial" w:cs="Arial"/>
                <w:sz w:val="24"/>
              </w:rPr>
              <w:t>配置的检测设备应在其申报能力评价的地点内，并对其有完全的支配权和使用权。</w:t>
            </w:r>
          </w:p>
          <w:p>
            <w:pPr>
              <w:spacing w:line="300" w:lineRule="auto"/>
              <w:rPr>
                <w:rFonts w:ascii="Arial" w:hAnsi="Arial" w:cs="Arial"/>
                <w:sz w:val="24"/>
              </w:rPr>
            </w:pPr>
            <w:r>
              <w:rPr>
                <w:rFonts w:hint="eastAsia" w:ascii="宋体" w:hAnsi="宋体" w:cs="Arial"/>
                <w:kern w:val="0"/>
                <w:sz w:val="24"/>
                <w:lang w:eastAsia="zh-CN"/>
              </w:rPr>
              <w:t>机构</w:t>
            </w:r>
            <w:r>
              <w:rPr>
                <w:rFonts w:hint="eastAsia" w:ascii="宋体" w:hAnsi="宋体" w:cs="Arial"/>
                <w:kern w:val="0"/>
                <w:sz w:val="24"/>
              </w:rPr>
              <w:t>自行制备试样时，应配置能满足检测要求的制样设备，如电火花机、线切割机、机加工设备（钻床、铣床、车床）、机械切割设备、磨抛设备等。</w:t>
            </w:r>
          </w:p>
        </w:tc>
        <w:tc>
          <w:tcPr>
            <w:tcW w:w="3036" w:type="dxa"/>
            <w:tcBorders>
              <w:bottom w:val="single" w:color="auto" w:sz="4" w:space="0"/>
            </w:tcBorders>
          </w:tcPr>
          <w:p>
            <w:pPr>
              <w:spacing w:line="300" w:lineRule="auto"/>
              <w:rPr>
                <w:rFonts w:ascii="宋体" w:hAnsi="宋体"/>
                <w:sz w:val="24"/>
              </w:rPr>
            </w:pPr>
          </w:p>
        </w:tc>
        <w:tc>
          <w:tcPr>
            <w:tcW w:w="2019" w:type="dxa"/>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6.3.2</w:t>
            </w:r>
          </w:p>
        </w:tc>
        <w:tc>
          <w:tcPr>
            <w:tcW w:w="5088" w:type="dxa"/>
            <w:tcBorders>
              <w:top w:val="single" w:color="auto" w:sz="4" w:space="0"/>
            </w:tcBorders>
            <w:vAlign w:val="center"/>
          </w:tcPr>
          <w:p>
            <w:pPr>
              <w:spacing w:line="300" w:lineRule="auto"/>
              <w:rPr>
                <w:rFonts w:ascii="宋体" w:hAnsi="宋体" w:cs="Arial"/>
                <w:sz w:val="24"/>
              </w:rPr>
            </w:pPr>
            <w:r>
              <w:rPr>
                <w:rFonts w:hint="eastAsia" w:ascii="宋体" w:hAnsi="宋体" w:cs="宋体"/>
                <w:kern w:val="0"/>
                <w:sz w:val="24"/>
                <w:lang w:eastAsia="zh-CN"/>
              </w:rPr>
              <w:t>机构</w:t>
            </w:r>
            <w:r>
              <w:rPr>
                <w:rFonts w:hint="eastAsia" w:ascii="宋体" w:hAnsi="宋体" w:cs="宋体"/>
                <w:kern w:val="0"/>
                <w:sz w:val="24"/>
              </w:rPr>
              <w:t>应按检测方法的要求配备标准试样和对比试样，所配试样应覆盖评价的能力范围。对于无损检测和形位公差检测，校准试样应能覆盖被检产品规格和检测标准的要求；对于硬度检测，硬度标准块应能覆盖硬度载荷的范围以及产品的典型硬度值；对于尺寸测量，</w:t>
            </w:r>
            <w:r>
              <w:rPr>
                <w:rFonts w:hint="eastAsia" w:ascii="宋体" w:hAnsi="宋体" w:cs="Arial"/>
                <w:sz w:val="24"/>
              </w:rPr>
              <w:t>标准量具和专用量具和卡规等</w:t>
            </w:r>
            <w:r>
              <w:rPr>
                <w:rFonts w:hint="eastAsia" w:ascii="宋体" w:hAnsi="宋体" w:cs="宋体"/>
                <w:kern w:val="0"/>
                <w:sz w:val="24"/>
              </w:rPr>
              <w:t>应能覆盖被检产品规格和检测精度的要求</w:t>
            </w:r>
            <w:r>
              <w:rPr>
                <w:rFonts w:hint="eastAsia" w:ascii="宋体" w:hAnsi="宋体" w:cs="Arial"/>
                <w:sz w:val="24"/>
              </w:rPr>
              <w:t>。</w:t>
            </w:r>
          </w:p>
        </w:tc>
        <w:tc>
          <w:tcPr>
            <w:tcW w:w="3036" w:type="dxa"/>
            <w:tcBorders>
              <w:top w:val="single" w:color="auto" w:sz="4" w:space="0"/>
            </w:tcBorders>
          </w:tcPr>
          <w:p>
            <w:pPr>
              <w:spacing w:line="300" w:lineRule="auto"/>
              <w:rPr>
                <w:rFonts w:ascii="宋体" w:hAnsi="宋体"/>
                <w:sz w:val="24"/>
              </w:rPr>
            </w:pPr>
          </w:p>
        </w:tc>
        <w:tc>
          <w:tcPr>
            <w:tcW w:w="2019" w:type="dxa"/>
            <w:tcBorders>
              <w:top w:val="single" w:color="auto" w:sz="4" w:space="0"/>
            </w:tcBorders>
          </w:tcPr>
          <w:p>
            <w:pPr>
              <w:spacing w:line="300" w:lineRule="auto"/>
              <w:rPr>
                <w:rFonts w:ascii="宋体" w:hAnsi="宋体"/>
                <w:sz w:val="24"/>
              </w:rPr>
            </w:pPr>
          </w:p>
        </w:tc>
        <w:tc>
          <w:tcPr>
            <w:tcW w:w="3381" w:type="dxa"/>
            <w:tcBorders>
              <w:top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6.3.3</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应建立对检测设备、测量器具进行校准的程序，并指定专人负责设备和器具的管理，包括校准、维护和期间核查等。</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6.3.4</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应制定设备和器具校准周期表，该表应满足校准规程、设备说明书或检测方法的要求，执行最小校准间隔，且记录校准间隔和校准机构。</w:t>
            </w:r>
            <w:r>
              <w:rPr>
                <w:rFonts w:hint="eastAsia" w:ascii="宋体" w:hAnsi="宋体" w:cs="Arial"/>
                <w:sz w:val="24"/>
                <w:lang w:eastAsia="zh-CN"/>
              </w:rPr>
              <w:t>机构</w:t>
            </w:r>
            <w:r>
              <w:rPr>
                <w:rFonts w:hint="eastAsia" w:ascii="宋体" w:hAnsi="宋体" w:cs="Arial"/>
                <w:sz w:val="24"/>
              </w:rPr>
              <w:t>应注意到并非每台设备都需要校准，</w:t>
            </w:r>
            <w:r>
              <w:rPr>
                <w:rFonts w:hint="eastAsia" w:ascii="宋体" w:hAnsi="宋体" w:cs="Arial"/>
                <w:sz w:val="24"/>
                <w:lang w:eastAsia="zh-CN"/>
              </w:rPr>
              <w:t>机构</w:t>
            </w:r>
            <w:r>
              <w:rPr>
                <w:rFonts w:hint="eastAsia" w:ascii="宋体" w:hAnsi="宋体" w:cs="Arial"/>
                <w:sz w:val="24"/>
              </w:rPr>
              <w:t>应评估各设备对结果有效性和计量溯源性的影响，合理地确定是否需要校准。对不需要校准的设备，</w:t>
            </w:r>
            <w:r>
              <w:rPr>
                <w:rFonts w:hint="eastAsia" w:ascii="宋体" w:hAnsi="宋体" w:cs="Arial"/>
                <w:sz w:val="24"/>
                <w:lang w:eastAsia="zh-CN"/>
              </w:rPr>
              <w:t>机构</w:t>
            </w:r>
            <w:r>
              <w:rPr>
                <w:rFonts w:hint="eastAsia" w:ascii="宋体" w:hAnsi="宋体" w:cs="Arial"/>
                <w:sz w:val="24"/>
              </w:rPr>
              <w:t>应核查其状态是否满足使用要求。</w:t>
            </w:r>
            <w:r>
              <w:rPr>
                <w:rFonts w:hint="eastAsia" w:ascii="宋体" w:hAnsi="宋体" w:cs="Arial"/>
                <w:sz w:val="24"/>
                <w:lang w:eastAsia="zh-CN"/>
              </w:rPr>
              <w:t>机构</w:t>
            </w:r>
            <w:r>
              <w:rPr>
                <w:rFonts w:hint="eastAsia" w:ascii="宋体" w:hAnsi="宋体" w:cs="Arial"/>
                <w:sz w:val="24"/>
              </w:rPr>
              <w:t>应根据校准证书的信息，判断设备是否满足检测方法要求。</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6.3.5</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w:t>
            </w:r>
            <w:r>
              <w:rPr>
                <w:rFonts w:ascii="宋体" w:hAnsi="宋体" w:cs="Arial"/>
                <w:sz w:val="24"/>
              </w:rPr>
              <w:t>根据标准</w:t>
            </w:r>
            <w:r>
              <w:rPr>
                <w:rFonts w:hint="eastAsia" w:ascii="宋体" w:hAnsi="宋体" w:cs="Arial"/>
                <w:sz w:val="24"/>
              </w:rPr>
              <w:t>、</w:t>
            </w:r>
            <w:r>
              <w:rPr>
                <w:rFonts w:ascii="宋体" w:hAnsi="宋体" w:cs="Arial"/>
                <w:sz w:val="24"/>
              </w:rPr>
              <w:t>规范</w:t>
            </w:r>
            <w:r>
              <w:rPr>
                <w:rFonts w:hint="eastAsia" w:ascii="宋体" w:hAnsi="宋体" w:cs="Arial"/>
                <w:sz w:val="24"/>
              </w:rPr>
              <w:t>或</w:t>
            </w:r>
            <w:r>
              <w:rPr>
                <w:rFonts w:ascii="宋体" w:hAnsi="宋体" w:cs="Arial"/>
                <w:sz w:val="24"/>
              </w:rPr>
              <w:t>客户</w:t>
            </w:r>
            <w:r>
              <w:rPr>
                <w:rFonts w:hint="eastAsia" w:ascii="宋体" w:hAnsi="宋体" w:cs="Arial"/>
                <w:sz w:val="24"/>
              </w:rPr>
              <w:t>的</w:t>
            </w:r>
            <w:r>
              <w:rPr>
                <w:rFonts w:ascii="宋体" w:hAnsi="宋体" w:cs="Arial"/>
                <w:sz w:val="24"/>
              </w:rPr>
              <w:t>要求</w:t>
            </w:r>
            <w:r>
              <w:rPr>
                <w:rFonts w:hint="eastAsia" w:ascii="宋体" w:hAnsi="宋体" w:cs="Arial"/>
                <w:sz w:val="24"/>
              </w:rPr>
              <w:t>明确仪器设备的校准方案，校准方案中应包括该设备校准的参数、范围、不确定度和校准周期等，以便送校时提出明确的、针对性的要求。必要的设备附件也需要校准且出具证书或在校准证书中包含，如水压试验机的压力表。</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80"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6.3.6</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应严格执行校准周期表，不得漏项。收到校准证书后应确认核对信息是否满足校准方案，并认真填写校准证书评价表，验证校准的符合性。</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05" w:hRule="atLeast"/>
        </w:trPr>
        <w:tc>
          <w:tcPr>
            <w:tcW w:w="14580" w:type="dxa"/>
            <w:gridSpan w:val="5"/>
            <w:vAlign w:val="center"/>
          </w:tcPr>
          <w:p>
            <w:pPr>
              <w:spacing w:line="300" w:lineRule="auto"/>
              <w:rPr>
                <w:rFonts w:ascii="Arial" w:hAnsi="Arial" w:cs="Arial"/>
                <w:sz w:val="24"/>
              </w:rPr>
            </w:pPr>
            <w:r>
              <w:rPr>
                <w:rFonts w:hint="eastAsia" w:ascii="Arial" w:hAnsi="Arial" w:cs="Arial"/>
                <w:sz w:val="24"/>
              </w:rPr>
              <w:t>注：依据校准结果判断设备是否满足方法要求是</w:t>
            </w:r>
            <w:r>
              <w:rPr>
                <w:rFonts w:hint="eastAsia" w:ascii="Arial" w:hAnsi="Arial" w:cs="Arial"/>
                <w:sz w:val="24"/>
                <w:lang w:eastAsia="zh-CN"/>
              </w:rPr>
              <w:t>机构</w:t>
            </w:r>
            <w:r>
              <w:rPr>
                <w:rFonts w:hint="eastAsia" w:ascii="Arial" w:hAnsi="Arial" w:cs="Arial"/>
                <w:sz w:val="24"/>
              </w:rPr>
              <w:t>自身的工作，不宜由校准服务提供者来做出。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0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6.3.7</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应从合格供方中选择校准机构（通过ISO</w:t>
            </w:r>
            <w:r>
              <w:rPr>
                <w:rFonts w:ascii="宋体" w:hAnsi="宋体" w:cs="Arial"/>
                <w:sz w:val="24"/>
              </w:rPr>
              <w:t>/IEC</w:t>
            </w:r>
            <w:r>
              <w:rPr>
                <w:rFonts w:hint="eastAsia" w:ascii="宋体" w:hAnsi="宋体" w:cs="Arial"/>
                <w:sz w:val="24"/>
              </w:rPr>
              <w:t xml:space="preserve"> 17025 认可）进行校准服务。内部校准也需要符合ISO</w:t>
            </w:r>
            <w:r>
              <w:rPr>
                <w:rFonts w:ascii="宋体" w:hAnsi="宋体" w:cs="Arial"/>
                <w:sz w:val="24"/>
              </w:rPr>
              <w:t xml:space="preserve">/IEC </w:t>
            </w:r>
            <w:r>
              <w:rPr>
                <w:rFonts w:hint="eastAsia" w:ascii="宋体" w:hAnsi="宋体" w:cs="Arial"/>
                <w:sz w:val="24"/>
              </w:rPr>
              <w:t>17025的要求。</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6.3.8</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应根据设备的稳定性和使用情况来确定是否需要进行期间核查。</w:t>
            </w:r>
            <w:r>
              <w:rPr>
                <w:rFonts w:hint="eastAsia" w:ascii="宋体" w:hAnsi="宋体" w:cs="Arial"/>
                <w:sz w:val="24"/>
                <w:lang w:eastAsia="zh-CN"/>
              </w:rPr>
              <w:t>机构</w:t>
            </w:r>
            <w:r>
              <w:rPr>
                <w:rFonts w:hint="eastAsia" w:ascii="宋体" w:hAnsi="宋体" w:cs="Arial"/>
                <w:sz w:val="24"/>
              </w:rPr>
              <w:t>应确定期间核查的方法和周期，并保存记录。</w:t>
            </w:r>
          </w:p>
          <w:p>
            <w:pPr>
              <w:spacing w:line="300" w:lineRule="auto"/>
              <w:rPr>
                <w:rFonts w:ascii="宋体" w:hAnsi="宋体" w:cs="Arial"/>
                <w:sz w:val="24"/>
              </w:rPr>
            </w:pPr>
            <w:r>
              <w:rPr>
                <w:rFonts w:hint="eastAsia" w:ascii="宋体" w:hAnsi="宋体" w:cs="Arial"/>
                <w:sz w:val="24"/>
              </w:rPr>
              <w:t>注：并不是所有设备均需要进行期间核查。判断设备是否需要期间核查至少需考虑以下因素：</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设备校准周期；</w:t>
            </w:r>
          </w:p>
          <w:p>
            <w:pPr>
              <w:pStyle w:val="11"/>
              <w:numPr>
                <w:ilvl w:val="0"/>
                <w:numId w:val="2"/>
              </w:numPr>
              <w:spacing w:line="300" w:lineRule="auto"/>
              <w:ind w:firstLineChars="0"/>
              <w:rPr>
                <w:rFonts w:ascii="宋体" w:hAnsi="宋体" w:cs="Arial"/>
                <w:sz w:val="24"/>
              </w:rPr>
            </w:pPr>
            <w:r>
              <w:rPr>
                <w:rFonts w:hint="eastAsia" w:ascii="宋体" w:hAnsi="宋体" w:cs="Arial"/>
                <w:sz w:val="24"/>
              </w:rPr>
              <w:t>历次校准结果；</w:t>
            </w:r>
          </w:p>
          <w:p>
            <w:pPr>
              <w:pStyle w:val="11"/>
              <w:numPr>
                <w:ilvl w:val="0"/>
                <w:numId w:val="2"/>
              </w:numPr>
              <w:spacing w:line="300" w:lineRule="auto"/>
              <w:ind w:firstLineChars="0"/>
              <w:rPr>
                <w:rFonts w:ascii="宋体" w:hAnsi="宋体" w:cs="Arial"/>
                <w:sz w:val="24"/>
              </w:rPr>
            </w:pPr>
            <w:r>
              <w:rPr>
                <w:rFonts w:hint="eastAsia" w:ascii="宋体" w:hAnsi="宋体" w:cs="Arial"/>
                <w:sz w:val="24"/>
              </w:rPr>
              <w:t>质量控制结果；</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设备使用频率和性能稳定性；</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设备维护情况；</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设备操作人员及环境的变化；</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设备使用范围的变化等。</w:t>
            </w:r>
          </w:p>
          <w:p>
            <w:pPr>
              <w:spacing w:line="300" w:lineRule="auto"/>
              <w:rPr>
                <w:rFonts w:ascii="宋体" w:hAnsi="宋体" w:cs="Arial"/>
                <w:sz w:val="24"/>
              </w:rPr>
            </w:pP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6.3.9</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应在相关程序中规定设备维护内容，据此填写维护维修记录表，认真执行并及时填好记录，不得追记。</w:t>
            </w:r>
            <w:r>
              <w:rPr>
                <w:rFonts w:hint="eastAsia" w:ascii="宋体" w:hAnsi="宋体" w:cs="Arial"/>
                <w:sz w:val="24"/>
                <w:lang w:eastAsia="zh-CN"/>
              </w:rPr>
              <w:t>机构</w:t>
            </w:r>
            <w:r>
              <w:rPr>
                <w:rFonts w:hint="eastAsia" w:ascii="宋体" w:hAnsi="宋体" w:cs="Arial"/>
                <w:sz w:val="24"/>
              </w:rPr>
              <w:t>应指定负责人检查落实。</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6.3.10</w:t>
            </w:r>
          </w:p>
        </w:tc>
        <w:tc>
          <w:tcPr>
            <w:tcW w:w="5088" w:type="dxa"/>
            <w:vAlign w:val="center"/>
          </w:tcPr>
          <w:p>
            <w:pPr>
              <w:spacing w:line="300" w:lineRule="auto"/>
              <w:rPr>
                <w:rFonts w:ascii="宋体" w:hAnsi="宋体" w:cs="Arial"/>
                <w:sz w:val="24"/>
              </w:rPr>
            </w:pPr>
            <w:r>
              <w:rPr>
                <w:rFonts w:hint="eastAsia" w:ascii="宋体" w:hAnsi="宋体" w:cs="Arial"/>
                <w:sz w:val="24"/>
              </w:rPr>
              <w:t>设备维护记录应有维护计划或规定、维护日期、任何的损坏、故障、改造、调整或维修等。</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6.3.11</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应在相关程序中规定如何识别停用设备，有停用记录。</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6" w:hRule="atLeast"/>
        </w:trPr>
        <w:tc>
          <w:tcPr>
            <w:tcW w:w="14580" w:type="dxa"/>
            <w:gridSpan w:val="5"/>
            <w:tcBorders>
              <w:bottom w:val="single" w:color="auto" w:sz="4" w:space="0"/>
            </w:tcBorders>
            <w:shd w:val="clear" w:color="auto" w:fill="F2F2F2"/>
          </w:tcPr>
          <w:p>
            <w:pPr>
              <w:spacing w:line="300" w:lineRule="auto"/>
              <w:jc w:val="left"/>
              <w:rPr>
                <w:rFonts w:ascii="宋体" w:hAnsi="宋体"/>
                <w:sz w:val="24"/>
                <w:shd w:val="pct10" w:color="auto" w:fill="FFFFFF"/>
              </w:rPr>
            </w:pPr>
            <w:r>
              <w:rPr>
                <w:rFonts w:hint="eastAsia" w:ascii="宋体" w:hAnsi="宋体"/>
                <w:b/>
                <w:sz w:val="24"/>
              </w:rPr>
              <w:t>6.4外部提供的产品和服务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6.4.1</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采购易耗品时应对其品名、规格、等级、生产日期、保质期、成分、包装、贮存、数量、合格证明等进行符合性检查或验证。易耗品包括标准试样、磁粉和渗透试剂等。</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6.4.2</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选购设备时应考虑满足检测方法及相关要求。应单独保留检测设备的制造商记录。对于设备性能不能持续满足要求或不能提供良好售后服务和设备维护的供应商，</w:t>
            </w:r>
            <w:r>
              <w:rPr>
                <w:rFonts w:hint="eastAsia" w:ascii="宋体" w:hAnsi="宋体" w:cs="Arial"/>
                <w:sz w:val="24"/>
                <w:lang w:eastAsia="zh-CN"/>
              </w:rPr>
              <w:t>机构</w:t>
            </w:r>
            <w:r>
              <w:rPr>
                <w:rFonts w:hint="eastAsia" w:ascii="宋体" w:hAnsi="宋体" w:cs="Arial"/>
                <w:sz w:val="24"/>
              </w:rPr>
              <w:t>应考虑更换供应商。</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6" w:hRule="atLeast"/>
        </w:trPr>
        <w:tc>
          <w:tcPr>
            <w:tcW w:w="14580" w:type="dxa"/>
            <w:gridSpan w:val="5"/>
            <w:tcBorders>
              <w:bottom w:val="single" w:color="auto" w:sz="4" w:space="0"/>
            </w:tcBorders>
            <w:shd w:val="clear" w:color="auto" w:fill="F2F2F2"/>
          </w:tcPr>
          <w:p>
            <w:pPr>
              <w:spacing w:line="300" w:lineRule="auto"/>
              <w:jc w:val="left"/>
              <w:rPr>
                <w:rFonts w:ascii="宋体" w:hAnsi="宋体"/>
                <w:sz w:val="24"/>
                <w:shd w:val="pct10" w:color="auto" w:fill="FFFFFF"/>
              </w:rPr>
            </w:pPr>
            <w:r>
              <w:rPr>
                <w:rFonts w:hint="eastAsia" w:ascii="宋体" w:hAnsi="宋体"/>
                <w:b/>
                <w:sz w:val="24"/>
              </w:rPr>
              <w:t>6.5</w:t>
            </w:r>
            <w:r>
              <w:rPr>
                <w:rFonts w:hint="eastAsia" w:ascii="宋体" w:hAnsi="宋体"/>
                <w:b/>
                <w:sz w:val="24"/>
                <w:lang w:eastAsia="zh-CN"/>
              </w:rPr>
              <w:t>机构</w:t>
            </w:r>
            <w:r>
              <w:rPr>
                <w:rFonts w:hint="eastAsia" w:ascii="宋体" w:hAnsi="宋体"/>
                <w:b/>
                <w:sz w:val="24"/>
              </w:rPr>
              <w:t>分包工作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6.5.1</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因仪器设备突发故障、检测任务量变化等不可预见的因素或长期不具备某项检测条件需对外分包检测项目时，应</w:t>
            </w:r>
            <w:r>
              <w:rPr>
                <w:rFonts w:ascii="宋体" w:hAnsi="宋体" w:cs="Arial"/>
                <w:sz w:val="24"/>
              </w:rPr>
              <w:t>分包给</w:t>
            </w:r>
            <w:r>
              <w:rPr>
                <w:rFonts w:hint="eastAsia" w:ascii="宋体" w:hAnsi="宋体" w:cs="Arial"/>
                <w:sz w:val="24"/>
              </w:rPr>
              <w:t>通过了相关的第三方资格认证或第二方按照标准、规范和质量管理体系要求评审认可的机构。分包应控制适当比例。</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6.5.2</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检测</w:t>
            </w:r>
            <w:r>
              <w:rPr>
                <w:rFonts w:ascii="宋体" w:hAnsi="宋体" w:cs="Arial"/>
                <w:sz w:val="24"/>
              </w:rPr>
              <w:t>工作</w:t>
            </w:r>
            <w:r>
              <w:rPr>
                <w:rFonts w:hint="eastAsia" w:ascii="宋体" w:hAnsi="宋体" w:cs="Arial"/>
                <w:sz w:val="24"/>
              </w:rPr>
              <w:t>应</w:t>
            </w:r>
            <w:r>
              <w:rPr>
                <w:rFonts w:ascii="宋体" w:hAnsi="宋体" w:cs="Arial"/>
                <w:sz w:val="24"/>
              </w:rPr>
              <w:t>在以下情况</w:t>
            </w:r>
            <w:r>
              <w:rPr>
                <w:rFonts w:hint="eastAsia" w:ascii="宋体" w:hAnsi="宋体" w:cs="Arial"/>
                <w:sz w:val="24"/>
              </w:rPr>
              <w:t>时</w:t>
            </w:r>
            <w:r>
              <w:rPr>
                <w:rFonts w:ascii="宋体" w:hAnsi="宋体" w:cs="Arial"/>
                <w:sz w:val="24"/>
              </w:rPr>
              <w:t>进行分包：（1）未预料的或不正常的超</w:t>
            </w:r>
            <w:r>
              <w:rPr>
                <w:rFonts w:hint="eastAsia" w:ascii="宋体" w:hAnsi="宋体" w:cs="Arial"/>
                <w:sz w:val="24"/>
              </w:rPr>
              <w:t>检测</w:t>
            </w:r>
            <w:r>
              <w:rPr>
                <w:rFonts w:ascii="宋体" w:hAnsi="宋体" w:cs="Arial"/>
                <w:sz w:val="24"/>
              </w:rPr>
              <w:t>量；（2）关键</w:t>
            </w:r>
            <w:r>
              <w:rPr>
                <w:rFonts w:hint="eastAsia" w:ascii="宋体" w:hAnsi="宋体" w:cs="Arial"/>
                <w:sz w:val="24"/>
              </w:rPr>
              <w:t>检测</w:t>
            </w:r>
            <w:r>
              <w:rPr>
                <w:rFonts w:ascii="宋体" w:hAnsi="宋体" w:cs="Arial"/>
                <w:sz w:val="24"/>
              </w:rPr>
              <w:t>人员失去工作能力；（3）关键设施或设备关键部件暂不</w:t>
            </w:r>
            <w:r>
              <w:rPr>
                <w:rFonts w:hint="eastAsia" w:ascii="宋体" w:hAnsi="宋体" w:cs="Arial"/>
                <w:sz w:val="24"/>
              </w:rPr>
              <w:t>能</w:t>
            </w:r>
            <w:r>
              <w:rPr>
                <w:rFonts w:ascii="宋体" w:hAnsi="宋体" w:cs="Arial"/>
                <w:sz w:val="24"/>
              </w:rPr>
              <w:t>使用；（4）</w:t>
            </w:r>
            <w:r>
              <w:rPr>
                <w:rFonts w:hint="eastAsia" w:ascii="宋体" w:hAnsi="宋体" w:cs="Arial"/>
                <w:sz w:val="24"/>
              </w:rPr>
              <w:t>客户</w:t>
            </w:r>
            <w:r>
              <w:rPr>
                <w:rFonts w:ascii="宋体" w:hAnsi="宋体" w:cs="Arial"/>
                <w:sz w:val="24"/>
              </w:rPr>
              <w:t>合同中某</w:t>
            </w:r>
            <w:r>
              <w:rPr>
                <w:rFonts w:hint="eastAsia" w:ascii="宋体" w:hAnsi="宋体" w:cs="Arial"/>
                <w:sz w:val="24"/>
              </w:rPr>
              <w:t>项检测</w:t>
            </w:r>
            <w:r>
              <w:rPr>
                <w:rFonts w:ascii="宋体" w:hAnsi="宋体" w:cs="Arial"/>
                <w:sz w:val="24"/>
              </w:rPr>
              <w:t>活动不属于</w:t>
            </w:r>
            <w:r>
              <w:rPr>
                <w:rFonts w:hint="eastAsia" w:ascii="宋体" w:hAnsi="宋体" w:cs="Arial"/>
                <w:sz w:val="24"/>
                <w:lang w:eastAsia="zh-CN"/>
              </w:rPr>
              <w:t>机构</w:t>
            </w:r>
            <w:r>
              <w:rPr>
                <w:rFonts w:ascii="宋体" w:hAnsi="宋体" w:cs="Arial"/>
                <w:sz w:val="24"/>
              </w:rPr>
              <w:t>的范围或超出了</w:t>
            </w:r>
            <w:r>
              <w:rPr>
                <w:rFonts w:hint="eastAsia" w:ascii="宋体" w:hAnsi="宋体" w:cs="Arial"/>
                <w:sz w:val="24"/>
                <w:lang w:eastAsia="zh-CN"/>
              </w:rPr>
              <w:t>机构</w:t>
            </w:r>
            <w:r>
              <w:rPr>
                <w:rFonts w:ascii="宋体" w:hAnsi="宋体" w:cs="Arial"/>
                <w:sz w:val="24"/>
              </w:rPr>
              <w:t>的能力或资源。</w:t>
            </w:r>
            <w:r>
              <w:rPr>
                <w:rFonts w:hint="eastAsia" w:ascii="宋体" w:hAnsi="宋体" w:cs="Arial"/>
                <w:sz w:val="24"/>
                <w:lang w:eastAsia="zh-CN"/>
              </w:rPr>
              <w:t>机构</w:t>
            </w:r>
            <w:r>
              <w:rPr>
                <w:rFonts w:hint="eastAsia" w:ascii="宋体" w:hAnsi="宋体" w:cs="Arial"/>
                <w:sz w:val="24"/>
              </w:rPr>
              <w:t>应</w:t>
            </w:r>
            <w:r>
              <w:rPr>
                <w:rFonts w:ascii="宋体" w:hAnsi="宋体" w:cs="Arial"/>
                <w:sz w:val="24"/>
              </w:rPr>
              <w:t>保存有关分包工作的记录</w:t>
            </w:r>
            <w:r>
              <w:rPr>
                <w:rFonts w:hint="eastAsia" w:ascii="宋体" w:hAnsi="宋体" w:cs="Arial"/>
                <w:sz w:val="24"/>
              </w:rPr>
              <w:t>。</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6.5.3</w:t>
            </w:r>
          </w:p>
        </w:tc>
        <w:tc>
          <w:tcPr>
            <w:tcW w:w="5088" w:type="dxa"/>
          </w:tcPr>
          <w:p>
            <w:pPr>
              <w:spacing w:line="300" w:lineRule="auto"/>
              <w:rPr>
                <w:rFonts w:ascii="宋体" w:hAnsi="宋体" w:cs="Arial"/>
                <w:sz w:val="24"/>
              </w:rPr>
            </w:pPr>
            <w:r>
              <w:rPr>
                <w:rFonts w:hint="eastAsia" w:ascii="宋体" w:hAnsi="宋体" w:cs="Arial"/>
                <w:sz w:val="24"/>
              </w:rPr>
              <w:t>当</w:t>
            </w:r>
            <w:r>
              <w:rPr>
                <w:rFonts w:hint="eastAsia" w:ascii="宋体" w:hAnsi="宋体" w:cs="Arial"/>
                <w:sz w:val="24"/>
                <w:lang w:eastAsia="zh-CN"/>
              </w:rPr>
              <w:t>机构</w:t>
            </w:r>
            <w:r>
              <w:rPr>
                <w:rFonts w:hint="eastAsia" w:ascii="宋体" w:hAnsi="宋体" w:cs="Arial"/>
                <w:sz w:val="24"/>
              </w:rPr>
              <w:t>因客户要求，将检测项目分包给没有通过</w:t>
            </w:r>
            <w:r>
              <w:rPr>
                <w:rFonts w:hint="eastAsia" w:ascii="宋体" w:hAnsi="宋体" w:cs="Arial"/>
                <w:sz w:val="24"/>
                <w:highlight w:val="yellow"/>
              </w:rPr>
              <w:t>相关的第三方资格认证或第二方按照标准、规范和质量管理体系要求评审</w:t>
            </w:r>
            <w:r>
              <w:rPr>
                <w:rFonts w:hint="eastAsia" w:ascii="宋体" w:hAnsi="宋体" w:cs="Arial"/>
                <w:sz w:val="24"/>
              </w:rPr>
              <w:t>认可的机构时，</w:t>
            </w:r>
            <w:r>
              <w:rPr>
                <w:rFonts w:hint="eastAsia" w:ascii="宋体" w:hAnsi="宋体" w:cs="Arial"/>
                <w:sz w:val="24"/>
                <w:lang w:eastAsia="zh-CN"/>
              </w:rPr>
              <w:t>机构</w:t>
            </w:r>
            <w:r>
              <w:rPr>
                <w:rFonts w:ascii="宋体" w:hAnsi="宋体" w:cs="Arial"/>
                <w:sz w:val="24"/>
              </w:rPr>
              <w:t>应有完善的</w:t>
            </w:r>
            <w:r>
              <w:rPr>
                <w:rFonts w:hint="eastAsia" w:ascii="宋体" w:hAnsi="宋体" w:cs="Arial"/>
                <w:sz w:val="24"/>
              </w:rPr>
              <w:t>分包能力评审和质量</w:t>
            </w:r>
            <w:r>
              <w:rPr>
                <w:rFonts w:ascii="宋体" w:hAnsi="宋体" w:cs="Arial"/>
                <w:sz w:val="24"/>
              </w:rPr>
              <w:t>管理</w:t>
            </w:r>
            <w:r>
              <w:rPr>
                <w:rFonts w:hint="eastAsia" w:ascii="宋体" w:hAnsi="宋体" w:cs="Arial"/>
                <w:sz w:val="24"/>
              </w:rPr>
              <w:t>的</w:t>
            </w:r>
            <w:r>
              <w:rPr>
                <w:rFonts w:ascii="宋体" w:hAnsi="宋体" w:cs="Arial"/>
                <w:sz w:val="24"/>
              </w:rPr>
              <w:t>体系文件</w:t>
            </w:r>
            <w:r>
              <w:rPr>
                <w:rFonts w:hint="eastAsia" w:ascii="宋体" w:hAnsi="宋体" w:cs="Arial"/>
                <w:sz w:val="24"/>
              </w:rPr>
              <w:t>。</w:t>
            </w:r>
            <w:r>
              <w:rPr>
                <w:rFonts w:hint="eastAsia" w:ascii="宋体" w:hAnsi="宋体" w:cs="Arial"/>
                <w:sz w:val="24"/>
                <w:lang w:eastAsia="zh-CN"/>
              </w:rPr>
              <w:t>机构</w:t>
            </w:r>
            <w:r>
              <w:rPr>
                <w:rFonts w:hint="eastAsia" w:ascii="宋体" w:hAnsi="宋体" w:cs="Arial"/>
                <w:sz w:val="24"/>
              </w:rPr>
              <w:t>应对分包方进行评价、审核，并对分包项目进行100%确认或对分包检测服务进行抽样检测。</w:t>
            </w:r>
            <w:r>
              <w:rPr>
                <w:rFonts w:hint="eastAsia" w:ascii="宋体" w:hAnsi="宋体" w:cs="Arial"/>
                <w:sz w:val="24"/>
                <w:lang w:eastAsia="zh-CN"/>
              </w:rPr>
              <w:t>机构</w:t>
            </w:r>
            <w:r>
              <w:rPr>
                <w:rFonts w:hint="eastAsia" w:ascii="宋体" w:hAnsi="宋体" w:cs="Arial"/>
                <w:sz w:val="24"/>
              </w:rPr>
              <w:t>应对分包方进行的评价、审核以及确认或抽检做好详细的记录。</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6.5.4</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应将针对分包方（质量、技术、商务方面的）的要求，以文件的形式通知给分包方。</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6.5.5</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对分包工作的结果承担相应的法律责任，但客户或法定管理机构指定的分包方除外。</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6.5.6</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应保留每一分包方的名录、资质等相关证明材料以及对分包方履行分包工作的能力进行评价的所有记录。</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6.5.7</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对分包方的评价可以采用体系文件审核、检测设备可靠性能测试、检测结果复检等方法。必要时，</w:t>
            </w:r>
            <w:r>
              <w:rPr>
                <w:rFonts w:hint="eastAsia" w:ascii="宋体" w:hAnsi="宋体" w:cs="Arial"/>
                <w:sz w:val="24"/>
                <w:lang w:eastAsia="zh-CN"/>
              </w:rPr>
              <w:t>机构</w:t>
            </w:r>
            <w:r>
              <w:rPr>
                <w:rFonts w:hint="eastAsia" w:ascii="宋体" w:hAnsi="宋体" w:cs="Arial"/>
                <w:sz w:val="24"/>
              </w:rPr>
              <w:t>可进入分包方场所进行</w:t>
            </w:r>
            <w:r>
              <w:rPr>
                <w:rFonts w:ascii="宋体" w:hAnsi="宋体" w:cs="Arial"/>
                <w:sz w:val="24"/>
              </w:rPr>
              <w:t>现场评审、见证和跟踪</w:t>
            </w:r>
            <w:r>
              <w:rPr>
                <w:rFonts w:hint="eastAsia" w:ascii="宋体" w:hAnsi="宋体" w:cs="Arial"/>
                <w:sz w:val="24"/>
              </w:rPr>
              <w:t>。</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bl>
    <w:p>
      <w:pPr>
        <w:pStyle w:val="4"/>
        <w:spacing w:line="300" w:lineRule="auto"/>
        <w:ind w:right="82"/>
        <w:rPr>
          <w:rFonts w:ascii="宋体" w:hAnsi="宋体"/>
          <w:b/>
          <w:sz w:val="24"/>
        </w:rPr>
      </w:pPr>
    </w:p>
    <w:p>
      <w:pPr>
        <w:pStyle w:val="4"/>
        <w:spacing w:after="156" w:afterLines="50" w:line="300" w:lineRule="auto"/>
        <w:ind w:right="79"/>
        <w:rPr>
          <w:rFonts w:ascii="宋体" w:hAnsi="宋体"/>
          <w:b/>
          <w:sz w:val="24"/>
        </w:rPr>
      </w:pPr>
      <w:r>
        <w:rPr>
          <w:rFonts w:hint="eastAsia" w:ascii="宋体" w:hAnsi="宋体"/>
          <w:b/>
          <w:sz w:val="24"/>
        </w:rPr>
        <w:t>7过程要求</w:t>
      </w:r>
    </w:p>
    <w:tbl>
      <w:tblPr>
        <w:tblStyle w:val="6"/>
        <w:tblW w:w="145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993"/>
        <w:gridCol w:w="63"/>
        <w:gridCol w:w="5040"/>
        <w:gridCol w:w="48"/>
        <w:gridCol w:w="377"/>
        <w:gridCol w:w="142"/>
        <w:gridCol w:w="2517"/>
        <w:gridCol w:w="34"/>
        <w:gridCol w:w="1985"/>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10"/>
            <w:tcBorders>
              <w:bottom w:val="single" w:color="auto" w:sz="4" w:space="0"/>
            </w:tcBorders>
            <w:shd w:val="pct10" w:color="auto" w:fill="FFFFFF"/>
            <w:vAlign w:val="center"/>
          </w:tcPr>
          <w:p>
            <w:pPr>
              <w:spacing w:line="300" w:lineRule="auto"/>
              <w:rPr>
                <w:rFonts w:ascii="宋体" w:hAnsi="宋体"/>
                <w:b/>
                <w:sz w:val="24"/>
              </w:rPr>
            </w:pPr>
            <w:r>
              <w:rPr>
                <w:rFonts w:hint="eastAsia" w:ascii="宋体" w:hAnsi="宋体"/>
                <w:b/>
                <w:sz w:val="24"/>
              </w:rPr>
              <w:t>7.1要求、标书和合同的评审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71" w:hRule="atLeast"/>
        </w:trPr>
        <w:tc>
          <w:tcPr>
            <w:tcW w:w="1056" w:type="dxa"/>
            <w:gridSpan w:val="2"/>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7.1.1</w:t>
            </w:r>
          </w:p>
        </w:tc>
        <w:tc>
          <w:tcPr>
            <w:tcW w:w="5088"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应在所建立的要求、标书、合同评审程序中包含以下内容：</w:t>
            </w:r>
          </w:p>
          <w:p>
            <w:pPr>
              <w:pStyle w:val="11"/>
              <w:numPr>
                <w:ilvl w:val="0"/>
                <w:numId w:val="3"/>
              </w:numPr>
              <w:spacing w:line="300" w:lineRule="auto"/>
              <w:ind w:firstLineChars="0"/>
              <w:rPr>
                <w:rFonts w:ascii="宋体" w:hAnsi="宋体" w:cs="Arial"/>
                <w:sz w:val="24"/>
              </w:rPr>
            </w:pPr>
            <w:r>
              <w:rPr>
                <w:rFonts w:hint="eastAsia" w:ascii="宋体" w:hAnsi="宋体" w:cs="Arial"/>
                <w:sz w:val="24"/>
                <w:lang w:eastAsia="zh-CN"/>
              </w:rPr>
              <w:t>机构</w:t>
            </w:r>
            <w:r>
              <w:rPr>
                <w:rFonts w:hint="eastAsia" w:ascii="宋体" w:hAnsi="宋体" w:cs="Arial"/>
                <w:sz w:val="24"/>
              </w:rPr>
              <w:t>如何审核客户要求。</w:t>
            </w:r>
          </w:p>
          <w:p>
            <w:pPr>
              <w:pStyle w:val="11"/>
              <w:numPr>
                <w:ilvl w:val="0"/>
                <w:numId w:val="3"/>
              </w:numPr>
              <w:spacing w:line="300" w:lineRule="auto"/>
              <w:ind w:firstLineChars="0"/>
              <w:rPr>
                <w:rFonts w:ascii="宋体" w:hAnsi="宋体" w:cs="Arial"/>
                <w:sz w:val="24"/>
              </w:rPr>
            </w:pPr>
            <w:r>
              <w:rPr>
                <w:rFonts w:hint="eastAsia" w:ascii="宋体" w:hAnsi="宋体" w:cs="Arial"/>
                <w:sz w:val="24"/>
                <w:lang w:eastAsia="zh-CN"/>
              </w:rPr>
              <w:t>机构</w:t>
            </w:r>
            <w:r>
              <w:rPr>
                <w:rFonts w:hint="eastAsia" w:ascii="宋体" w:hAnsi="宋体" w:cs="Arial"/>
                <w:sz w:val="24"/>
              </w:rPr>
              <w:t>如何将客户要求进行有效地传递。</w:t>
            </w:r>
          </w:p>
          <w:p>
            <w:pPr>
              <w:pStyle w:val="11"/>
              <w:numPr>
                <w:ilvl w:val="0"/>
                <w:numId w:val="3"/>
              </w:numPr>
              <w:spacing w:line="300" w:lineRule="auto"/>
              <w:ind w:firstLineChars="0"/>
              <w:rPr>
                <w:rFonts w:ascii="宋体" w:hAnsi="宋体" w:cs="Arial"/>
                <w:sz w:val="24"/>
              </w:rPr>
            </w:pPr>
            <w:r>
              <w:rPr>
                <w:rFonts w:hint="eastAsia" w:ascii="宋体" w:hAnsi="宋体" w:cs="Arial"/>
                <w:sz w:val="24"/>
                <w:lang w:eastAsia="zh-CN"/>
              </w:rPr>
              <w:t>机构</w:t>
            </w:r>
            <w:r>
              <w:rPr>
                <w:rFonts w:hint="eastAsia" w:ascii="宋体" w:hAnsi="宋体" w:cs="Arial"/>
                <w:sz w:val="24"/>
              </w:rPr>
              <w:t>如何确定是否满足要求？</w:t>
            </w:r>
          </w:p>
          <w:p>
            <w:pPr>
              <w:pStyle w:val="11"/>
              <w:spacing w:line="300" w:lineRule="auto"/>
              <w:ind w:left="420" w:firstLine="0" w:firstLineChars="0"/>
              <w:rPr>
                <w:rFonts w:ascii="宋体" w:hAnsi="宋体" w:cs="Arial"/>
                <w:sz w:val="24"/>
              </w:rPr>
            </w:pPr>
          </w:p>
        </w:tc>
        <w:tc>
          <w:tcPr>
            <w:tcW w:w="3036" w:type="dxa"/>
            <w:gridSpan w:val="3"/>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71" w:hRule="atLeast"/>
        </w:trPr>
        <w:tc>
          <w:tcPr>
            <w:tcW w:w="1056" w:type="dxa"/>
            <w:gridSpan w:val="2"/>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7.1.2</w:t>
            </w:r>
          </w:p>
        </w:tc>
        <w:tc>
          <w:tcPr>
            <w:tcW w:w="5088"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rPr>
              <w:t>当客户未指定标准方法或规范时，</w:t>
            </w:r>
            <w:r>
              <w:rPr>
                <w:rFonts w:hint="eastAsia" w:ascii="宋体" w:hAnsi="宋体" w:cs="Arial"/>
                <w:sz w:val="24"/>
                <w:lang w:eastAsia="zh-CN"/>
              </w:rPr>
              <w:t>机构</w:t>
            </w:r>
            <w:r>
              <w:rPr>
                <w:rFonts w:hint="eastAsia" w:ascii="宋体" w:hAnsi="宋体" w:cs="Arial"/>
                <w:sz w:val="24"/>
              </w:rPr>
              <w:t>应协助客户选择满足要求的检测方法或规范，并形成文件，由客户认可。采用非标方法时，</w:t>
            </w:r>
            <w:r>
              <w:rPr>
                <w:rFonts w:hint="eastAsia" w:ascii="宋体" w:hAnsi="宋体" w:cs="Arial"/>
                <w:sz w:val="24"/>
                <w:lang w:eastAsia="zh-CN"/>
              </w:rPr>
              <w:t>机构</w:t>
            </w:r>
            <w:r>
              <w:rPr>
                <w:rFonts w:hint="eastAsia" w:ascii="宋体" w:hAnsi="宋体" w:cs="Arial"/>
                <w:sz w:val="24"/>
              </w:rPr>
              <w:t>应给客户提供充分说明，以便客户能够确认其适合自身的需求。</w:t>
            </w:r>
          </w:p>
        </w:tc>
        <w:tc>
          <w:tcPr>
            <w:tcW w:w="3036" w:type="dxa"/>
            <w:gridSpan w:val="3"/>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10"/>
            <w:tcBorders>
              <w:bottom w:val="single" w:color="auto" w:sz="4" w:space="0"/>
            </w:tcBorders>
            <w:shd w:val="pct10" w:color="auto" w:fill="FFFFFF"/>
            <w:vAlign w:val="center"/>
          </w:tcPr>
          <w:p>
            <w:pPr>
              <w:spacing w:line="300" w:lineRule="auto"/>
              <w:rPr>
                <w:rFonts w:ascii="宋体" w:hAnsi="宋体"/>
                <w:b/>
                <w:sz w:val="24"/>
              </w:rPr>
            </w:pPr>
            <w:r>
              <w:rPr>
                <w:rFonts w:hint="eastAsia" w:ascii="宋体" w:hAnsi="宋体"/>
                <w:b/>
                <w:sz w:val="24"/>
              </w:rPr>
              <w:t>7.2方法的选择、验证和确认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7.2.1</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应对使用的检测方法实施有效的控制和管理，及时跟进检测技术的发展，定期评估方法能否满足检测需求。</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7.2.2</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rPr>
              <w:t>对于标准方法，</w:t>
            </w:r>
            <w:r>
              <w:rPr>
                <w:rFonts w:hint="eastAsia" w:ascii="宋体" w:hAnsi="宋体" w:cs="Arial"/>
                <w:sz w:val="24"/>
                <w:lang w:eastAsia="zh-CN"/>
              </w:rPr>
              <w:t>机构</w:t>
            </w:r>
            <w:r>
              <w:rPr>
                <w:rFonts w:hint="eastAsia" w:ascii="宋体" w:hAnsi="宋体" w:cs="Arial"/>
                <w:sz w:val="24"/>
              </w:rPr>
              <w:t>应定期跟踪标准的制修订情况，如标准有修订则应自修订的标准发布6个月内纳入管理体系，及时采用最新版本标准。</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7.2.3</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rPr>
              <w:t>对于非标准方法、超出预定范围使用的标准方法、或其他修改的标准方法，</w:t>
            </w:r>
            <w:r>
              <w:rPr>
                <w:rFonts w:hint="eastAsia" w:ascii="宋体" w:hAnsi="宋体" w:cs="Arial"/>
                <w:sz w:val="24"/>
                <w:lang w:eastAsia="zh-CN"/>
              </w:rPr>
              <w:t>机构</w:t>
            </w:r>
            <w:r>
              <w:rPr>
                <w:rFonts w:hint="eastAsia" w:ascii="宋体" w:hAnsi="宋体" w:cs="Arial"/>
                <w:sz w:val="24"/>
              </w:rPr>
              <w:t>应在使用前进行方法确认。确认应尽可能全面，以满足预期用途的需要。</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7.2.4</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在引入检测方法之前，应对其能否正确运用这些检测方法的能力进行验证，验证不仅需要识别相应的人员、设施和环境、设备等，还应通过检测证明结果的准确性和可靠性，如检测精度、灵敏度、信噪比和稳定度等特性指标。</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7.2.5</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宋体"/>
                <w:kern w:val="0"/>
                <w:sz w:val="24"/>
              </w:rPr>
              <w:t>使用不同标准进行检测时，应注意标准之间的差异部分，包括检测方法和质量等级对试样、设备、步骤的要求等。</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10"/>
            <w:tcBorders>
              <w:bottom w:val="single" w:color="auto" w:sz="4" w:space="0"/>
            </w:tcBorders>
            <w:shd w:val="pct10" w:color="auto" w:fill="FFFFFF"/>
            <w:vAlign w:val="center"/>
          </w:tcPr>
          <w:p>
            <w:pPr>
              <w:spacing w:line="300" w:lineRule="auto"/>
              <w:rPr>
                <w:rFonts w:ascii="宋体" w:hAnsi="宋体"/>
                <w:b/>
                <w:sz w:val="24"/>
              </w:rPr>
            </w:pPr>
            <w:r>
              <w:rPr>
                <w:rFonts w:hint="eastAsia" w:ascii="宋体" w:hAnsi="宋体"/>
                <w:b/>
                <w:sz w:val="24"/>
              </w:rPr>
              <w:t>7.3 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25" w:hRule="atLeast"/>
        </w:trPr>
        <w:tc>
          <w:tcPr>
            <w:tcW w:w="14580" w:type="dxa"/>
            <w:gridSpan w:val="10"/>
            <w:shd w:val="clear" w:color="auto" w:fill="F2F2F2"/>
          </w:tcPr>
          <w:p>
            <w:pPr>
              <w:spacing w:line="300" w:lineRule="auto"/>
              <w:rPr>
                <w:rFonts w:ascii="宋体" w:hAnsi="宋体"/>
                <w:b/>
                <w:sz w:val="24"/>
              </w:rPr>
            </w:pPr>
            <w:r>
              <w:rPr>
                <w:rFonts w:hint="eastAsia" w:ascii="宋体" w:hAnsi="宋体"/>
                <w:b/>
                <w:sz w:val="24"/>
              </w:rPr>
              <w:t>7.4样品的处置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1056" w:type="dxa"/>
            <w:gridSpan w:val="2"/>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7.4.2</w:t>
            </w:r>
          </w:p>
        </w:tc>
        <w:tc>
          <w:tcPr>
            <w:tcW w:w="5465" w:type="dxa"/>
            <w:gridSpan w:val="3"/>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的被检测产品应有唯一性编号，并在</w:t>
            </w:r>
            <w:r>
              <w:rPr>
                <w:rFonts w:hint="eastAsia" w:ascii="宋体" w:hAnsi="宋体" w:cs="Arial"/>
                <w:kern w:val="0"/>
                <w:sz w:val="24"/>
              </w:rPr>
              <w:t>检测中</w:t>
            </w:r>
            <w:r>
              <w:rPr>
                <w:rFonts w:hint="eastAsia" w:ascii="宋体" w:hAnsi="宋体" w:cs="Arial"/>
                <w:sz w:val="24"/>
              </w:rPr>
              <w:t>保留标识</w:t>
            </w:r>
            <w:r>
              <w:rPr>
                <w:rFonts w:hint="eastAsia" w:ascii="宋体" w:hAnsi="宋体" w:cs="Arial"/>
                <w:kern w:val="0"/>
                <w:sz w:val="24"/>
              </w:rPr>
              <w:t>。</w:t>
            </w:r>
            <w:r>
              <w:rPr>
                <w:rFonts w:hint="eastAsia" w:ascii="宋体" w:hAnsi="宋体" w:cs="Arial"/>
                <w:sz w:val="24"/>
              </w:rPr>
              <w:t>标识可以是喷码打印、贴标签、拴挂标牌等。</w:t>
            </w:r>
            <w:r>
              <w:rPr>
                <w:rFonts w:hint="eastAsia" w:ascii="宋体" w:hAnsi="宋体" w:cs="Arial"/>
                <w:sz w:val="24"/>
                <w:lang w:eastAsia="zh-CN"/>
              </w:rPr>
              <w:t>机构</w:t>
            </w:r>
            <w:r>
              <w:rPr>
                <w:rFonts w:hint="eastAsia" w:ascii="宋体" w:hAnsi="宋体" w:cs="Arial"/>
                <w:sz w:val="24"/>
              </w:rPr>
              <w:t>传递到分包方的被检产品也要保证唯一性标识。</w:t>
            </w:r>
          </w:p>
        </w:tc>
        <w:tc>
          <w:tcPr>
            <w:tcW w:w="2659" w:type="dxa"/>
            <w:gridSpan w:val="2"/>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2" w:hRule="atLeast"/>
        </w:trPr>
        <w:tc>
          <w:tcPr>
            <w:tcW w:w="14580" w:type="dxa"/>
            <w:gridSpan w:val="10"/>
            <w:tcBorders>
              <w:top w:val="single" w:color="auto" w:sz="4" w:space="0"/>
            </w:tcBorders>
            <w:shd w:val="pct10" w:color="auto" w:fill="auto"/>
            <w:vAlign w:val="center"/>
          </w:tcPr>
          <w:p>
            <w:pPr>
              <w:spacing w:line="300" w:lineRule="auto"/>
              <w:rPr>
                <w:rFonts w:ascii="宋体" w:hAnsi="宋体"/>
                <w:b/>
                <w:sz w:val="24"/>
              </w:rPr>
            </w:pPr>
            <w:r>
              <w:rPr>
                <w:rFonts w:hint="eastAsia" w:ascii="宋体" w:hAnsi="宋体"/>
                <w:b/>
                <w:sz w:val="24"/>
              </w:rPr>
              <w:t>7.5技术记录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gridSpan w:val="2"/>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7.5.1</w:t>
            </w:r>
          </w:p>
        </w:tc>
        <w:tc>
          <w:tcPr>
            <w:tcW w:w="5607" w:type="dxa"/>
            <w:gridSpan w:val="4"/>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应保留与检测相关活动的原始记录和数据，并能溯源至检测报告，记录的详细程度应确保在尽可能接近条件下能够重复检测活动。只要适用，记录内容应包括但不限于以下信息：</w:t>
            </w:r>
          </w:p>
          <w:p>
            <w:pPr>
              <w:pStyle w:val="11"/>
              <w:numPr>
                <w:ilvl w:val="0"/>
                <w:numId w:val="4"/>
              </w:numPr>
              <w:spacing w:line="300" w:lineRule="auto"/>
              <w:ind w:firstLineChars="0"/>
              <w:rPr>
                <w:rFonts w:ascii="宋体" w:hAnsi="宋体" w:cs="Arial"/>
                <w:sz w:val="24"/>
              </w:rPr>
            </w:pPr>
            <w:r>
              <w:rPr>
                <w:rFonts w:hint="eastAsia" w:ascii="宋体" w:hAnsi="宋体" w:cs="Arial"/>
                <w:sz w:val="24"/>
              </w:rPr>
              <w:t>被检对象详细信息（名称、规格</w:t>
            </w:r>
            <w:r>
              <w:rPr>
                <w:rFonts w:hint="eastAsia" w:ascii="宋体" w:hAnsi="宋体" w:cs="宋体"/>
                <w:kern w:val="0"/>
                <w:sz w:val="24"/>
              </w:rPr>
              <w:t>、材质、工艺状态等</w:t>
            </w:r>
            <w:r>
              <w:rPr>
                <w:rFonts w:hint="eastAsia" w:ascii="宋体" w:hAnsi="宋体" w:cs="Arial"/>
                <w:sz w:val="24"/>
              </w:rPr>
              <w:t>）；</w:t>
            </w:r>
          </w:p>
          <w:p>
            <w:pPr>
              <w:pStyle w:val="11"/>
              <w:numPr>
                <w:ilvl w:val="0"/>
                <w:numId w:val="4"/>
              </w:numPr>
              <w:spacing w:line="300" w:lineRule="auto"/>
              <w:ind w:firstLineChars="0"/>
              <w:rPr>
                <w:rFonts w:ascii="宋体" w:hAnsi="宋体" w:cs="Arial"/>
                <w:sz w:val="24"/>
              </w:rPr>
            </w:pPr>
            <w:r>
              <w:rPr>
                <w:rFonts w:hint="eastAsia" w:ascii="宋体" w:hAnsi="宋体" w:cs="Arial"/>
                <w:sz w:val="24"/>
              </w:rPr>
              <w:t>产品唯一性标识；</w:t>
            </w:r>
          </w:p>
          <w:p>
            <w:pPr>
              <w:pStyle w:val="11"/>
              <w:numPr>
                <w:ilvl w:val="0"/>
                <w:numId w:val="4"/>
              </w:numPr>
              <w:spacing w:line="300" w:lineRule="auto"/>
              <w:ind w:firstLineChars="0"/>
              <w:rPr>
                <w:rFonts w:ascii="宋体" w:hAnsi="宋体" w:cs="Arial"/>
                <w:sz w:val="24"/>
              </w:rPr>
            </w:pPr>
            <w:r>
              <w:rPr>
                <w:rFonts w:hint="eastAsia" w:ascii="宋体" w:hAnsi="宋体" w:cs="Arial"/>
                <w:sz w:val="24"/>
              </w:rPr>
              <w:t>所用的检测方法；</w:t>
            </w:r>
          </w:p>
          <w:p>
            <w:pPr>
              <w:pStyle w:val="11"/>
              <w:numPr>
                <w:ilvl w:val="0"/>
                <w:numId w:val="4"/>
              </w:numPr>
              <w:spacing w:line="300" w:lineRule="auto"/>
              <w:ind w:firstLineChars="0"/>
              <w:rPr>
                <w:rFonts w:ascii="宋体" w:hAnsi="宋体" w:cs="Arial"/>
                <w:sz w:val="24"/>
              </w:rPr>
            </w:pPr>
            <w:r>
              <w:rPr>
                <w:rFonts w:hint="eastAsia" w:ascii="宋体" w:hAnsi="宋体" w:cs="Arial"/>
                <w:sz w:val="24"/>
              </w:rPr>
              <w:t>环境条件，特别是</w:t>
            </w:r>
            <w:r>
              <w:rPr>
                <w:rFonts w:hint="eastAsia" w:ascii="宋体" w:hAnsi="宋体" w:cs="Arial"/>
                <w:sz w:val="24"/>
                <w:lang w:eastAsia="zh-CN"/>
              </w:rPr>
              <w:t>机构</w:t>
            </w:r>
            <w:r>
              <w:rPr>
                <w:rFonts w:hint="eastAsia" w:ascii="宋体" w:hAnsi="宋体" w:cs="Arial"/>
                <w:sz w:val="24"/>
              </w:rPr>
              <w:t>以外的地点实施的检测活动；</w:t>
            </w:r>
          </w:p>
          <w:p>
            <w:pPr>
              <w:pStyle w:val="11"/>
              <w:numPr>
                <w:ilvl w:val="0"/>
                <w:numId w:val="4"/>
              </w:numPr>
              <w:spacing w:line="300" w:lineRule="auto"/>
              <w:ind w:firstLineChars="0"/>
              <w:rPr>
                <w:rFonts w:ascii="宋体" w:hAnsi="宋体" w:cs="Arial"/>
                <w:sz w:val="24"/>
              </w:rPr>
            </w:pPr>
            <w:r>
              <w:rPr>
                <w:rFonts w:hint="eastAsia" w:ascii="宋体" w:hAnsi="宋体" w:cs="Arial"/>
                <w:sz w:val="24"/>
              </w:rPr>
              <w:t>所用设备和标准试样的信息；</w:t>
            </w:r>
          </w:p>
          <w:p>
            <w:pPr>
              <w:pStyle w:val="11"/>
              <w:numPr>
                <w:ilvl w:val="0"/>
                <w:numId w:val="4"/>
              </w:numPr>
              <w:spacing w:line="300" w:lineRule="auto"/>
              <w:ind w:firstLineChars="0"/>
              <w:rPr>
                <w:rFonts w:ascii="宋体" w:hAnsi="宋体" w:cs="Arial"/>
                <w:sz w:val="24"/>
              </w:rPr>
            </w:pPr>
            <w:r>
              <w:rPr>
                <w:rFonts w:hint="eastAsia" w:ascii="宋体" w:hAnsi="宋体" w:cs="Arial"/>
                <w:sz w:val="24"/>
              </w:rPr>
              <w:t>检测过程中的原始记录；</w:t>
            </w:r>
          </w:p>
          <w:p>
            <w:pPr>
              <w:pStyle w:val="11"/>
              <w:numPr>
                <w:ilvl w:val="0"/>
                <w:numId w:val="4"/>
              </w:numPr>
              <w:spacing w:line="300" w:lineRule="auto"/>
              <w:ind w:firstLineChars="0"/>
              <w:rPr>
                <w:rFonts w:ascii="宋体" w:hAnsi="宋体" w:cs="Arial"/>
                <w:sz w:val="24"/>
              </w:rPr>
            </w:pPr>
            <w:r>
              <w:rPr>
                <w:rFonts w:hint="eastAsia" w:ascii="宋体" w:hAnsi="宋体" w:cs="Arial"/>
                <w:sz w:val="24"/>
              </w:rPr>
              <w:t>实施检测活动的人员；</w:t>
            </w:r>
          </w:p>
          <w:p>
            <w:pPr>
              <w:pStyle w:val="11"/>
              <w:numPr>
                <w:ilvl w:val="0"/>
                <w:numId w:val="4"/>
              </w:numPr>
              <w:spacing w:line="300" w:lineRule="auto"/>
              <w:ind w:firstLineChars="0"/>
              <w:rPr>
                <w:rFonts w:ascii="宋体" w:hAnsi="宋体" w:cs="Arial"/>
                <w:sz w:val="24"/>
              </w:rPr>
            </w:pPr>
            <w:r>
              <w:rPr>
                <w:rFonts w:hint="eastAsia" w:ascii="宋体" w:hAnsi="宋体" w:cs="Arial"/>
                <w:sz w:val="24"/>
              </w:rPr>
              <w:t>实施检测活动的地点（如果未在</w:t>
            </w:r>
            <w:r>
              <w:rPr>
                <w:rFonts w:hint="eastAsia" w:ascii="宋体" w:hAnsi="宋体" w:cs="Arial"/>
                <w:sz w:val="24"/>
                <w:lang w:eastAsia="zh-CN"/>
              </w:rPr>
              <w:t>机构</w:t>
            </w:r>
            <w:r>
              <w:rPr>
                <w:rFonts w:hint="eastAsia" w:ascii="宋体" w:hAnsi="宋体" w:cs="Arial"/>
                <w:sz w:val="24"/>
              </w:rPr>
              <w:t>固定地点实施）；</w:t>
            </w:r>
          </w:p>
          <w:p>
            <w:pPr>
              <w:pStyle w:val="11"/>
              <w:numPr>
                <w:ilvl w:val="0"/>
                <w:numId w:val="4"/>
              </w:numPr>
              <w:spacing w:line="300" w:lineRule="auto"/>
              <w:ind w:firstLineChars="0"/>
              <w:rPr>
                <w:rFonts w:ascii="宋体" w:hAnsi="宋体" w:cs="Arial"/>
                <w:sz w:val="24"/>
              </w:rPr>
            </w:pPr>
            <w:r>
              <w:rPr>
                <w:rFonts w:hint="eastAsia" w:ascii="宋体" w:hAnsi="宋体" w:cs="Arial"/>
                <w:sz w:val="24"/>
              </w:rPr>
              <w:t>检测报告或产品质保书中相关检测结论；</w:t>
            </w:r>
          </w:p>
          <w:p>
            <w:pPr>
              <w:pStyle w:val="11"/>
              <w:numPr>
                <w:ilvl w:val="0"/>
                <w:numId w:val="4"/>
              </w:numPr>
              <w:spacing w:line="300" w:lineRule="auto"/>
              <w:ind w:firstLineChars="0"/>
              <w:rPr>
                <w:rFonts w:ascii="宋体" w:hAnsi="宋体" w:cs="Arial"/>
                <w:sz w:val="24"/>
              </w:rPr>
            </w:pPr>
            <w:r>
              <w:rPr>
                <w:rFonts w:hint="eastAsia" w:ascii="宋体" w:hAnsi="宋体" w:cs="Arial"/>
                <w:sz w:val="24"/>
              </w:rPr>
              <w:t>其他重要信息。</w:t>
            </w:r>
          </w:p>
          <w:p>
            <w:pPr>
              <w:pStyle w:val="11"/>
              <w:spacing w:line="300" w:lineRule="auto"/>
              <w:ind w:left="420" w:firstLine="0" w:firstLineChars="0"/>
              <w:rPr>
                <w:rFonts w:ascii="宋体" w:hAnsi="宋体" w:cs="Arial"/>
                <w:sz w:val="24"/>
              </w:rPr>
            </w:pPr>
          </w:p>
        </w:tc>
        <w:tc>
          <w:tcPr>
            <w:tcW w:w="2517" w:type="dxa"/>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31" w:hRule="atLeast"/>
        </w:trPr>
        <w:tc>
          <w:tcPr>
            <w:tcW w:w="14580" w:type="dxa"/>
            <w:gridSpan w:val="10"/>
          </w:tcPr>
          <w:p>
            <w:pPr>
              <w:spacing w:line="300" w:lineRule="auto"/>
              <w:rPr>
                <w:rFonts w:ascii="宋体" w:hAnsi="宋体" w:cs="Arial"/>
                <w:sz w:val="24"/>
              </w:rPr>
            </w:pPr>
            <w:r>
              <w:rPr>
                <w:rFonts w:hint="eastAsia" w:ascii="宋体" w:hAnsi="宋体" w:cs="Arial"/>
                <w:sz w:val="24"/>
              </w:rPr>
              <w:t>注：检测报告或包含检测结论的质保书，可以是纸质版本或不可更改的电子版本，其中应包含报告的签发人、认可标识（如使用）等信息。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049" w:hRule="atLeast"/>
        </w:trPr>
        <w:tc>
          <w:tcPr>
            <w:tcW w:w="1056" w:type="dxa"/>
            <w:gridSpan w:val="2"/>
            <w:vAlign w:val="center"/>
          </w:tcPr>
          <w:p>
            <w:pPr>
              <w:spacing w:line="300" w:lineRule="auto"/>
              <w:jc w:val="center"/>
              <w:rPr>
                <w:rFonts w:ascii="仿宋" w:hAnsi="仿宋" w:eastAsia="仿宋"/>
                <w:position w:val="1"/>
                <w:sz w:val="24"/>
              </w:rPr>
            </w:pPr>
            <w:r>
              <w:rPr>
                <w:rFonts w:hint="eastAsia" w:ascii="仿宋" w:hAnsi="仿宋" w:eastAsia="仿宋"/>
                <w:position w:val="1"/>
                <w:sz w:val="24"/>
              </w:rPr>
              <w:t>7.5.2</w:t>
            </w:r>
          </w:p>
        </w:tc>
        <w:tc>
          <w:tcPr>
            <w:tcW w:w="5040" w:type="dxa"/>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可以保存纸版的检测原始记录，也可以保存直接录入信息管理系统中的检测数据以及设备自动记录的数据。对设备自动记录数据的任何更改，应确保可以追溯到原始检测结果。</w:t>
            </w:r>
          </w:p>
        </w:tc>
        <w:tc>
          <w:tcPr>
            <w:tcW w:w="3118" w:type="dxa"/>
            <w:gridSpan w:val="5"/>
            <w:tcBorders>
              <w:top w:val="single" w:color="auto" w:sz="4" w:space="0"/>
              <w:bottom w:val="single" w:color="auto" w:sz="4" w:space="0"/>
            </w:tcBorders>
            <w:vAlign w:val="center"/>
          </w:tcPr>
          <w:p>
            <w:pPr>
              <w:spacing w:line="300" w:lineRule="auto"/>
              <w:rPr>
                <w:rFonts w:ascii="宋体" w:hAnsi="宋体" w:cs="Arial"/>
                <w:sz w:val="24"/>
              </w:rPr>
            </w:pPr>
          </w:p>
        </w:tc>
        <w:tc>
          <w:tcPr>
            <w:tcW w:w="1985" w:type="dxa"/>
            <w:tcBorders>
              <w:top w:val="single" w:color="auto" w:sz="4" w:space="0"/>
              <w:bottom w:val="single" w:color="auto" w:sz="4" w:space="0"/>
            </w:tcBorders>
            <w:vAlign w:val="center"/>
          </w:tcPr>
          <w:p>
            <w:pPr>
              <w:spacing w:line="300" w:lineRule="auto"/>
              <w:rPr>
                <w:rFonts w:ascii="宋体" w:hAnsi="宋体" w:cs="Arial"/>
                <w:sz w:val="24"/>
              </w:rPr>
            </w:pPr>
          </w:p>
        </w:tc>
        <w:tc>
          <w:tcPr>
            <w:tcW w:w="3381" w:type="dxa"/>
            <w:tcBorders>
              <w:top w:val="single" w:color="auto" w:sz="4" w:space="0"/>
              <w:bottom w:val="single" w:color="auto" w:sz="4" w:space="0"/>
            </w:tcBorders>
            <w:vAlign w:val="center"/>
          </w:tcPr>
          <w:p>
            <w:pPr>
              <w:spacing w:line="30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78" w:hRule="atLeast"/>
        </w:trPr>
        <w:tc>
          <w:tcPr>
            <w:tcW w:w="14580" w:type="dxa"/>
            <w:gridSpan w:val="10"/>
          </w:tcPr>
          <w:p>
            <w:pPr>
              <w:spacing w:line="300" w:lineRule="auto"/>
              <w:rPr>
                <w:rFonts w:ascii="宋体" w:hAnsi="宋体" w:cs="Arial"/>
                <w:sz w:val="24"/>
              </w:rPr>
            </w:pPr>
            <w:r>
              <w:rPr>
                <w:rFonts w:hint="eastAsia" w:ascii="宋体" w:hAnsi="宋体" w:cs="Arial"/>
                <w:sz w:val="24"/>
              </w:rPr>
              <w:t>注：原始记录是检测人员在检测过程中记录的原始观察数据和信息，而不是检测后所誊抄的数据。当需要另行整理或誊抄时，应保留对应的原始记录。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51" w:hRule="atLeast"/>
        </w:trPr>
        <w:tc>
          <w:tcPr>
            <w:tcW w:w="14580" w:type="dxa"/>
            <w:gridSpan w:val="10"/>
            <w:shd w:val="pct10" w:color="auto" w:fill="auto"/>
            <w:vAlign w:val="center"/>
          </w:tcPr>
          <w:p>
            <w:pPr>
              <w:spacing w:line="300" w:lineRule="auto"/>
              <w:rPr>
                <w:rFonts w:ascii="宋体" w:hAnsi="宋体"/>
                <w:b/>
                <w:sz w:val="24"/>
              </w:rPr>
            </w:pPr>
            <w:r>
              <w:rPr>
                <w:rFonts w:hint="eastAsia" w:ascii="宋体" w:hAnsi="宋体"/>
                <w:b/>
                <w:sz w:val="24"/>
              </w:rPr>
              <w:t>7.6测量不确定度的评定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4580" w:type="dxa"/>
            <w:gridSpan w:val="10"/>
            <w:shd w:val="clear" w:color="auto" w:fill="F2F2F2"/>
            <w:vAlign w:val="center"/>
          </w:tcPr>
          <w:p>
            <w:pPr>
              <w:spacing w:line="300" w:lineRule="auto"/>
              <w:rPr>
                <w:rFonts w:ascii="宋体" w:hAnsi="宋体"/>
                <w:b/>
                <w:sz w:val="24"/>
              </w:rPr>
            </w:pPr>
            <w:r>
              <w:rPr>
                <w:rFonts w:hint="eastAsia" w:ascii="宋体" w:hAnsi="宋体"/>
                <w:b/>
                <w:sz w:val="24"/>
              </w:rPr>
              <w:t>7.7质量控制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应制定检测质量控制程序及现场检测质量控制程序(适用时)，以确保检测结果的有效性和满足预期要求。</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申请评价的检测项目应参加能力验证或</w:t>
            </w:r>
            <w:r>
              <w:rPr>
                <w:rFonts w:hint="eastAsia" w:ascii="宋体" w:hAnsi="宋体" w:cs="Arial"/>
                <w:sz w:val="24"/>
                <w:lang w:eastAsia="zh-CN"/>
              </w:rPr>
              <w:t>机构</w:t>
            </w:r>
            <w:r>
              <w:rPr>
                <w:rFonts w:hint="eastAsia" w:ascii="宋体" w:hAnsi="宋体" w:cs="Arial"/>
                <w:sz w:val="24"/>
              </w:rPr>
              <w:t>间比对（如可行），也可组织</w:t>
            </w:r>
            <w:r>
              <w:rPr>
                <w:rFonts w:hint="eastAsia" w:ascii="宋体" w:hAnsi="宋体" w:cs="Arial"/>
                <w:sz w:val="24"/>
                <w:lang w:eastAsia="zh-CN"/>
              </w:rPr>
              <w:t>机构</w:t>
            </w:r>
            <w:r>
              <w:rPr>
                <w:rFonts w:hint="eastAsia" w:ascii="宋体" w:hAnsi="宋体" w:cs="Arial"/>
                <w:sz w:val="24"/>
              </w:rPr>
              <w:t>内部</w:t>
            </w:r>
            <w:r>
              <w:rPr>
                <w:rFonts w:hint="eastAsia" w:ascii="宋体" w:hAnsi="宋体" w:cs="Arial"/>
                <w:sz w:val="24"/>
                <w:lang w:val="en-US" w:eastAsia="zh-CN"/>
              </w:rPr>
              <w:t>质控</w:t>
            </w:r>
            <w:r>
              <w:rPr>
                <w:rFonts w:hint="eastAsia"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7.7.3</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参与能力验证项目的情况需记录在案。</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7.7.4</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组织的</w:t>
            </w:r>
            <w:r>
              <w:rPr>
                <w:rFonts w:hint="eastAsia" w:ascii="宋体" w:hAnsi="宋体" w:cs="Arial"/>
                <w:sz w:val="24"/>
                <w:lang w:eastAsia="zh-CN"/>
              </w:rPr>
              <w:t>机构</w:t>
            </w:r>
            <w:r>
              <w:rPr>
                <w:rFonts w:hint="eastAsia" w:ascii="宋体" w:hAnsi="宋体" w:cs="Arial"/>
                <w:sz w:val="24"/>
              </w:rPr>
              <w:t>内部</w:t>
            </w:r>
            <w:r>
              <w:rPr>
                <w:rFonts w:hint="eastAsia" w:ascii="宋体" w:hAnsi="宋体" w:cs="Arial"/>
                <w:sz w:val="24"/>
                <w:lang w:val="en-US" w:eastAsia="zh-CN"/>
              </w:rPr>
              <w:t>质控</w:t>
            </w:r>
            <w:r>
              <w:rPr>
                <w:rFonts w:hint="eastAsia" w:ascii="宋体" w:hAnsi="宋体" w:cs="Arial"/>
                <w:sz w:val="24"/>
              </w:rPr>
              <w:t>计划，可用于比较使用相同</w:t>
            </w:r>
            <w:r>
              <w:rPr>
                <w:rFonts w:ascii="宋体" w:hAnsi="宋体" w:cs="Arial"/>
                <w:sz w:val="24"/>
              </w:rPr>
              <w:t>方法的</w:t>
            </w:r>
            <w:r>
              <w:rPr>
                <w:rFonts w:hint="eastAsia" w:ascii="宋体" w:hAnsi="宋体" w:cs="Arial"/>
                <w:sz w:val="24"/>
              </w:rPr>
              <w:t>检测</w:t>
            </w:r>
            <w:r>
              <w:rPr>
                <w:rFonts w:ascii="宋体" w:hAnsi="宋体" w:cs="Arial"/>
                <w:sz w:val="24"/>
              </w:rPr>
              <w:t>设备</w:t>
            </w:r>
            <w:r>
              <w:rPr>
                <w:rFonts w:hint="eastAsia" w:ascii="宋体" w:hAnsi="宋体" w:cs="Arial"/>
                <w:sz w:val="24"/>
              </w:rPr>
              <w:t>，或比较执行相同</w:t>
            </w:r>
            <w:r>
              <w:rPr>
                <w:rFonts w:ascii="宋体" w:hAnsi="宋体" w:cs="Arial"/>
                <w:sz w:val="24"/>
              </w:rPr>
              <w:t>方法的</w:t>
            </w:r>
            <w:r>
              <w:rPr>
                <w:rFonts w:hint="eastAsia" w:ascii="宋体" w:hAnsi="宋体" w:cs="Arial"/>
                <w:sz w:val="24"/>
              </w:rPr>
              <w:t>检测</w:t>
            </w:r>
            <w:r>
              <w:rPr>
                <w:rFonts w:ascii="宋体" w:hAnsi="宋体" w:cs="Arial"/>
                <w:sz w:val="24"/>
              </w:rPr>
              <w:t>人员</w:t>
            </w:r>
            <w:r>
              <w:rPr>
                <w:rFonts w:hint="eastAsia" w:ascii="宋体" w:hAnsi="宋体" w:cs="Arial"/>
                <w:sz w:val="24"/>
              </w:rPr>
              <w:t>。</w:t>
            </w:r>
            <w:r>
              <w:rPr>
                <w:rFonts w:hint="eastAsia" w:ascii="宋体" w:hAnsi="宋体" w:cs="Arial"/>
                <w:sz w:val="24"/>
                <w:lang w:eastAsia="zh-CN"/>
              </w:rPr>
              <w:t>机构</w:t>
            </w:r>
            <w:r>
              <w:rPr>
                <w:rFonts w:hint="eastAsia" w:ascii="宋体" w:hAnsi="宋体" w:cs="Arial"/>
                <w:sz w:val="24"/>
              </w:rPr>
              <w:t>也可以重复检测验证稳定性和可靠性的方法代替内部</w:t>
            </w:r>
            <w:r>
              <w:rPr>
                <w:rFonts w:hint="eastAsia" w:ascii="宋体" w:hAnsi="宋体" w:cs="Arial"/>
                <w:sz w:val="24"/>
                <w:lang w:val="en-US" w:eastAsia="zh-CN"/>
              </w:rPr>
              <w:t>质控</w:t>
            </w:r>
            <w:r>
              <w:rPr>
                <w:rFonts w:hint="eastAsia"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7.7.5</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当</w:t>
            </w:r>
            <w:r>
              <w:rPr>
                <w:rFonts w:hint="eastAsia" w:ascii="宋体" w:hAnsi="宋体" w:cs="Arial"/>
                <w:sz w:val="24"/>
                <w:lang w:eastAsia="zh-CN"/>
              </w:rPr>
              <w:t>机构</w:t>
            </w:r>
            <w:r>
              <w:rPr>
                <w:rFonts w:hint="eastAsia" w:ascii="宋体" w:hAnsi="宋体" w:cs="Arial"/>
                <w:sz w:val="24"/>
              </w:rPr>
              <w:t>使用不同型号设备、多台相同设备和/或不同方法检测同一产品时，应至少有一台设备或一种方法参加 1 次能力验证（如可行）或在内部开展仪器设备比对或人员比对。</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7.7.6</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应对内部</w:t>
            </w:r>
            <w:r>
              <w:rPr>
                <w:rFonts w:hint="eastAsia" w:ascii="宋体" w:hAnsi="宋体" w:cs="Arial"/>
                <w:sz w:val="24"/>
                <w:lang w:val="en-US" w:eastAsia="zh-CN"/>
              </w:rPr>
              <w:t>质控</w:t>
            </w:r>
            <w:r>
              <w:rPr>
                <w:rFonts w:ascii="宋体" w:hAnsi="宋体" w:cs="Arial"/>
                <w:sz w:val="24"/>
              </w:rPr>
              <w:t>或</w:t>
            </w:r>
            <w:r>
              <w:rPr>
                <w:rFonts w:hint="eastAsia" w:ascii="宋体" w:hAnsi="宋体" w:cs="Arial"/>
                <w:sz w:val="24"/>
              </w:rPr>
              <w:t>重复检测的结果</w:t>
            </w:r>
            <w:r>
              <w:rPr>
                <w:rFonts w:ascii="宋体" w:hAnsi="宋体" w:cs="Arial"/>
                <w:sz w:val="24"/>
              </w:rPr>
              <w:t>进行分析，并形成文档。</w:t>
            </w:r>
            <w:r>
              <w:rPr>
                <w:rFonts w:hint="eastAsia" w:ascii="宋体" w:hAnsi="宋体" w:cs="宋体"/>
                <w:kern w:val="0"/>
                <w:sz w:val="24"/>
              </w:rPr>
              <w:t>必要时应采取处理措施</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tcBorders>
              <w:bottom w:val="single" w:color="auto" w:sz="4" w:space="0"/>
            </w:tcBorders>
            <w:vAlign w:val="center"/>
          </w:tcPr>
          <w:p>
            <w:pPr>
              <w:spacing w:line="300" w:lineRule="auto"/>
              <w:jc w:val="center"/>
              <w:rPr>
                <w:rFonts w:ascii="宋体" w:hAnsi="宋体"/>
                <w:sz w:val="24"/>
              </w:rPr>
            </w:pPr>
            <w:r>
              <w:rPr>
                <w:rFonts w:hint="eastAsia" w:ascii="宋体" w:hAnsi="宋体"/>
                <w:sz w:val="24"/>
              </w:rPr>
              <w:t>7.7.7</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应有用于识别异常检测状态的程序。</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4580" w:type="dxa"/>
            <w:gridSpan w:val="10"/>
            <w:shd w:val="clear" w:color="auto" w:fill="F2F2F2"/>
          </w:tcPr>
          <w:p>
            <w:pPr>
              <w:spacing w:line="300" w:lineRule="auto"/>
              <w:rPr>
                <w:rFonts w:ascii="宋体" w:hAnsi="宋体"/>
                <w:b/>
                <w:sz w:val="24"/>
              </w:rPr>
            </w:pPr>
            <w:r>
              <w:rPr>
                <w:rFonts w:hint="eastAsia" w:ascii="宋体" w:hAnsi="宋体"/>
                <w:b/>
                <w:sz w:val="24"/>
              </w:rPr>
              <w:t>7.8无效检测和重复检测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重复检测应按照产品规范、客户要求进行。</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ascii="宋体" w:hAnsi="宋体" w:cs="Arial"/>
                <w:sz w:val="24"/>
              </w:rPr>
              <w:t>无效</w:t>
            </w:r>
            <w:r>
              <w:rPr>
                <w:rFonts w:hint="eastAsia" w:ascii="宋体" w:hAnsi="宋体" w:cs="Arial"/>
                <w:sz w:val="24"/>
              </w:rPr>
              <w:t>检测</w:t>
            </w:r>
            <w:r>
              <w:rPr>
                <w:rFonts w:ascii="宋体" w:hAnsi="宋体" w:cs="Arial"/>
                <w:sz w:val="24"/>
              </w:rPr>
              <w:t>和重复</w:t>
            </w:r>
            <w:r>
              <w:rPr>
                <w:rFonts w:hint="eastAsia" w:ascii="宋体" w:hAnsi="宋体" w:cs="Arial"/>
                <w:sz w:val="24"/>
              </w:rPr>
              <w:t>检测</w:t>
            </w:r>
            <w:r>
              <w:rPr>
                <w:rFonts w:ascii="宋体" w:hAnsi="宋体" w:cs="Arial"/>
                <w:sz w:val="24"/>
              </w:rPr>
              <w:t>都应由</w:t>
            </w:r>
            <w:r>
              <w:rPr>
                <w:rFonts w:hint="eastAsia" w:ascii="宋体" w:hAnsi="宋体" w:cs="Arial"/>
                <w:sz w:val="24"/>
              </w:rPr>
              <w:t>检测</w:t>
            </w:r>
            <w:r>
              <w:rPr>
                <w:rFonts w:ascii="宋体" w:hAnsi="宋体" w:cs="Arial"/>
                <w:sz w:val="24"/>
              </w:rPr>
              <w:t>人员记录。无效</w:t>
            </w:r>
            <w:r>
              <w:rPr>
                <w:rFonts w:hint="eastAsia" w:ascii="宋体" w:hAnsi="宋体" w:cs="Arial"/>
                <w:sz w:val="24"/>
              </w:rPr>
              <w:t>检测</w:t>
            </w:r>
            <w:r>
              <w:rPr>
                <w:rFonts w:ascii="宋体" w:hAnsi="宋体" w:cs="Arial"/>
                <w:sz w:val="24"/>
              </w:rPr>
              <w:t>和重复</w:t>
            </w:r>
            <w:r>
              <w:rPr>
                <w:rFonts w:hint="eastAsia" w:ascii="宋体" w:hAnsi="宋体" w:cs="Arial"/>
                <w:sz w:val="24"/>
              </w:rPr>
              <w:t>检测</w:t>
            </w:r>
            <w:r>
              <w:rPr>
                <w:rFonts w:ascii="宋体" w:hAnsi="宋体" w:cs="Arial"/>
                <w:sz w:val="24"/>
              </w:rPr>
              <w:t>的原因应注明。</w:t>
            </w:r>
            <w:r>
              <w:rPr>
                <w:rFonts w:hint="eastAsia" w:ascii="宋体" w:hAnsi="宋体" w:cs="Arial"/>
                <w:sz w:val="24"/>
              </w:rPr>
              <w:t>无效检测应</w:t>
            </w:r>
            <w:r>
              <w:rPr>
                <w:rFonts w:ascii="宋体" w:hAnsi="宋体" w:cs="Arial"/>
                <w:sz w:val="24"/>
              </w:rPr>
              <w:t>被登记</w:t>
            </w:r>
            <w:r>
              <w:rPr>
                <w:rFonts w:hint="eastAsia" w:ascii="宋体" w:hAnsi="宋体" w:cs="Arial"/>
                <w:sz w:val="24"/>
              </w:rPr>
              <w:t>在册</w:t>
            </w:r>
            <w:r>
              <w:rPr>
                <w:rFonts w:ascii="宋体" w:hAnsi="宋体" w:cs="Arial"/>
                <w:sz w:val="24"/>
              </w:rPr>
              <w:t>，</w:t>
            </w:r>
            <w:r>
              <w:rPr>
                <w:rFonts w:hint="eastAsia" w:ascii="宋体" w:hAnsi="宋体" w:cs="Arial"/>
                <w:sz w:val="24"/>
              </w:rPr>
              <w:t>且与</w:t>
            </w:r>
            <w:r>
              <w:rPr>
                <w:rFonts w:ascii="宋体" w:hAnsi="宋体" w:cs="Arial"/>
                <w:sz w:val="24"/>
              </w:rPr>
              <w:t>原</w:t>
            </w:r>
            <w:r>
              <w:rPr>
                <w:rFonts w:hint="eastAsia" w:ascii="宋体" w:hAnsi="宋体" w:cs="Arial"/>
                <w:sz w:val="24"/>
              </w:rPr>
              <w:t>检测</w:t>
            </w:r>
            <w:r>
              <w:rPr>
                <w:rFonts w:ascii="宋体" w:hAnsi="宋体" w:cs="Arial"/>
                <w:sz w:val="24"/>
              </w:rPr>
              <w:t>相对</w:t>
            </w:r>
            <w:r>
              <w:rPr>
                <w:rFonts w:hint="eastAsia" w:ascii="宋体" w:hAnsi="宋体" w:cs="Arial"/>
                <w:sz w:val="24"/>
              </w:rPr>
              <w:t>应</w:t>
            </w:r>
            <w:r>
              <w:rPr>
                <w:rFonts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7.8.3</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应每季度审核一次无效检测记录，以便发现检测能力退化的趋势。</w:t>
            </w:r>
            <w:r>
              <w:rPr>
                <w:rFonts w:hint="eastAsia" w:ascii="宋体" w:hAnsi="宋体" w:cs="Arial"/>
                <w:sz w:val="24"/>
                <w:lang w:eastAsia="zh-CN"/>
              </w:rPr>
              <w:t>机构</w:t>
            </w:r>
            <w:r>
              <w:rPr>
                <w:rFonts w:hint="eastAsia" w:ascii="宋体" w:hAnsi="宋体" w:cs="Arial"/>
                <w:sz w:val="24"/>
              </w:rPr>
              <w:t>只要有无效检测就需要记录，这属于</w:t>
            </w:r>
            <w:r>
              <w:rPr>
                <w:rFonts w:hint="eastAsia" w:ascii="宋体" w:hAnsi="宋体" w:cs="Arial"/>
                <w:sz w:val="24"/>
                <w:lang w:eastAsia="zh-CN"/>
              </w:rPr>
              <w:t>机构</w:t>
            </w:r>
            <w:r>
              <w:rPr>
                <w:rFonts w:hint="eastAsia" w:ascii="宋体" w:hAnsi="宋体" w:cs="Arial"/>
                <w:sz w:val="24"/>
              </w:rPr>
              <w:t>质量控制的一环。</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7.8.4</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在重复检测程序文件中应规定检测能力退化时采取纠正措施的标准。</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27" w:hRule="atLeast"/>
        </w:trPr>
        <w:tc>
          <w:tcPr>
            <w:tcW w:w="14580" w:type="dxa"/>
            <w:gridSpan w:val="10"/>
            <w:shd w:val="pct10" w:color="auto" w:fill="auto"/>
            <w:vAlign w:val="center"/>
          </w:tcPr>
          <w:p>
            <w:pPr>
              <w:spacing w:line="300" w:lineRule="auto"/>
              <w:rPr>
                <w:rFonts w:ascii="宋体" w:hAnsi="宋体"/>
                <w:b/>
                <w:sz w:val="24"/>
              </w:rPr>
            </w:pPr>
            <w:r>
              <w:rPr>
                <w:rFonts w:hint="eastAsia" w:ascii="宋体" w:hAnsi="宋体"/>
                <w:b/>
                <w:sz w:val="24"/>
              </w:rPr>
              <w:t>7.9 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检测报告中应包含产品的名称、材质、规格、状态、数量、检测和/或产品标准、验收登记等信息。必要时，检测报告还应包括产品可追溯的信息，如炉号、批次号、编号、订单号等。</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在检测报告中应注明</w:t>
            </w:r>
            <w:r>
              <w:rPr>
                <w:rFonts w:ascii="宋体" w:hAnsi="宋体" w:cs="Arial"/>
                <w:sz w:val="24"/>
              </w:rPr>
              <w:t>所使用的</w:t>
            </w:r>
            <w:r>
              <w:rPr>
                <w:rFonts w:hint="eastAsia" w:ascii="宋体" w:hAnsi="宋体" w:cs="Arial"/>
                <w:sz w:val="24"/>
              </w:rPr>
              <w:t>检测方法，若采用</w:t>
            </w:r>
            <w:r>
              <w:rPr>
                <w:rFonts w:ascii="宋体" w:hAnsi="宋体" w:cs="Arial"/>
                <w:sz w:val="24"/>
              </w:rPr>
              <w:t>非标准</w:t>
            </w:r>
            <w:r>
              <w:rPr>
                <w:rFonts w:hint="eastAsia" w:ascii="宋体" w:hAnsi="宋体" w:cs="Arial"/>
                <w:sz w:val="24"/>
              </w:rPr>
              <w:t>方法时应经过方法确认。</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7.9.3</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报告检测结果（含质量等级以及合格与否的结论）应依据检测标准、产品标准或客户要求。如有多种要求，则按照最严格的有要求报出结果。</w:t>
            </w:r>
            <w:r>
              <w:rPr>
                <w:rFonts w:hint="eastAsia" w:ascii="宋体" w:hAnsi="宋体" w:cs="宋体"/>
                <w:color w:val="000000"/>
                <w:kern w:val="0"/>
                <w:sz w:val="24"/>
              </w:rPr>
              <w:t>如果标准中有规定，在报告检测结果时还应报告检测条件。</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7.9.4</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对于产品标准或客户要求中没有提出结果要求的，</w:t>
            </w:r>
            <w:r>
              <w:rPr>
                <w:rFonts w:hint="eastAsia" w:ascii="宋体" w:hAnsi="宋体" w:cs="Arial"/>
                <w:sz w:val="24"/>
                <w:lang w:eastAsia="zh-CN"/>
              </w:rPr>
              <w:t>机构</w:t>
            </w:r>
            <w:r>
              <w:rPr>
                <w:rFonts w:hint="eastAsia" w:ascii="宋体" w:hAnsi="宋体" w:cs="Arial"/>
                <w:sz w:val="24"/>
              </w:rPr>
              <w:t>在报告中应给出对检测结果（如符合或不符合）的描述。</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7.9.5</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w:t>
            </w:r>
            <w:r>
              <w:rPr>
                <w:rFonts w:ascii="宋体" w:hAnsi="宋体" w:cs="Arial"/>
                <w:sz w:val="24"/>
              </w:rPr>
              <w:t>任何观察</w:t>
            </w:r>
            <w:r>
              <w:rPr>
                <w:rFonts w:hint="eastAsia" w:ascii="宋体" w:hAnsi="宋体" w:cs="Arial"/>
                <w:sz w:val="24"/>
              </w:rPr>
              <w:t>到的异常情况</w:t>
            </w:r>
            <w:r>
              <w:rPr>
                <w:rFonts w:ascii="宋体" w:hAnsi="宋体" w:cs="Arial"/>
                <w:sz w:val="24"/>
              </w:rPr>
              <w:t>都</w:t>
            </w:r>
            <w:r>
              <w:rPr>
                <w:rFonts w:hint="eastAsia" w:ascii="宋体" w:hAnsi="宋体" w:cs="Arial"/>
                <w:sz w:val="24"/>
              </w:rPr>
              <w:t>应</w:t>
            </w:r>
            <w:r>
              <w:rPr>
                <w:rFonts w:ascii="宋体" w:hAnsi="宋体" w:cs="Arial"/>
                <w:sz w:val="24"/>
              </w:rPr>
              <w:t>记录在</w:t>
            </w:r>
            <w:r>
              <w:rPr>
                <w:rFonts w:hint="eastAsia" w:ascii="宋体" w:hAnsi="宋体" w:cs="Arial"/>
                <w:sz w:val="24"/>
              </w:rPr>
              <w:t>检测</w:t>
            </w:r>
            <w:r>
              <w:rPr>
                <w:rFonts w:ascii="宋体" w:hAnsi="宋体" w:cs="Arial"/>
                <w:sz w:val="24"/>
              </w:rPr>
              <w:t>报告</w:t>
            </w:r>
            <w:r>
              <w:rPr>
                <w:rFonts w:hint="eastAsia" w:ascii="宋体" w:hAnsi="宋体" w:cs="Arial"/>
                <w:sz w:val="24"/>
              </w:rPr>
              <w:t>中。</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7.9.8</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检测报告应能溯及完成工作的要求/合同。</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7.9.9</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检测报告中应包含验收等级（客户要求时）和验收等级的来源（如标准、规范、订单等）。如果没有验收等级，则备注该信息或类似用语，除非客户有另外的要求。</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7.9.11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计算机生成的检测报告要求：（a）实际的或传真签名，或（b）</w:t>
            </w:r>
            <w:r>
              <w:rPr>
                <w:rFonts w:ascii="宋体" w:hAnsi="宋体" w:cs="Arial"/>
                <w:sz w:val="24"/>
              </w:rPr>
              <w:t>由</w:t>
            </w:r>
            <w:r>
              <w:rPr>
                <w:rFonts w:hint="eastAsia" w:ascii="宋体" w:hAnsi="宋体" w:cs="Arial"/>
                <w:sz w:val="24"/>
                <w:lang w:eastAsia="zh-CN"/>
              </w:rPr>
              <w:t>机构</w:t>
            </w:r>
            <w:r>
              <w:rPr>
                <w:rFonts w:ascii="宋体" w:hAnsi="宋体" w:cs="Arial"/>
                <w:sz w:val="24"/>
              </w:rPr>
              <w:t>代表签署的证明</w:t>
            </w:r>
            <w:r>
              <w:rPr>
                <w:rFonts w:hint="eastAsia" w:ascii="宋体" w:hAnsi="宋体" w:cs="Arial"/>
                <w:sz w:val="24"/>
                <w:lang w:eastAsia="zh-CN"/>
              </w:rPr>
              <w:t>机构</w:t>
            </w:r>
            <w:r>
              <w:rPr>
                <w:rFonts w:ascii="宋体" w:hAnsi="宋体" w:cs="Arial"/>
                <w:sz w:val="24"/>
              </w:rPr>
              <w:t>正在使用计算机系统的</w:t>
            </w:r>
            <w:r>
              <w:rPr>
                <w:rFonts w:hint="eastAsia" w:ascii="宋体" w:hAnsi="宋体" w:cs="Arial"/>
                <w:sz w:val="24"/>
              </w:rPr>
              <w:t>文件</w:t>
            </w:r>
            <w:r>
              <w:rPr>
                <w:rFonts w:ascii="宋体" w:hAnsi="宋体" w:cs="Arial"/>
                <w:sz w:val="24"/>
              </w:rPr>
              <w:t>，文件上打印的姓名为授权</w:t>
            </w:r>
            <w:r>
              <w:rPr>
                <w:rFonts w:hint="eastAsia" w:ascii="宋体" w:hAnsi="宋体" w:cs="Arial"/>
                <w:sz w:val="24"/>
              </w:rPr>
              <w:t>人员</w:t>
            </w:r>
            <w:r>
              <w:rPr>
                <w:rFonts w:ascii="宋体" w:hAnsi="宋体" w:cs="Arial"/>
                <w:sz w:val="24"/>
              </w:rPr>
              <w:t>，</w:t>
            </w:r>
            <w:r>
              <w:rPr>
                <w:rFonts w:hint="eastAsia" w:ascii="宋体" w:hAnsi="宋体" w:cs="Arial"/>
                <w:sz w:val="24"/>
                <w:lang w:eastAsia="zh-CN"/>
              </w:rPr>
              <w:t>机构</w:t>
            </w:r>
            <w:r>
              <w:rPr>
                <w:rFonts w:ascii="宋体" w:hAnsi="宋体" w:cs="Arial"/>
                <w:sz w:val="24"/>
              </w:rPr>
              <w:t>对其中包含的信息负责。如果</w:t>
            </w:r>
            <w:r>
              <w:rPr>
                <w:rFonts w:hint="eastAsia" w:ascii="宋体" w:hAnsi="宋体" w:cs="Arial"/>
                <w:sz w:val="24"/>
                <w:lang w:eastAsia="zh-CN"/>
              </w:rPr>
              <w:t>机构</w:t>
            </w:r>
            <w:r>
              <w:rPr>
                <w:rFonts w:ascii="宋体" w:hAnsi="宋体" w:cs="Arial"/>
                <w:sz w:val="24"/>
              </w:rPr>
              <w:t>使用计算机生成的具有实际或传真签名或打印姓名的</w:t>
            </w:r>
            <w:r>
              <w:rPr>
                <w:rFonts w:hint="eastAsia" w:ascii="宋体" w:hAnsi="宋体" w:cs="Arial"/>
                <w:sz w:val="24"/>
              </w:rPr>
              <w:t>报告</w:t>
            </w:r>
            <w:r>
              <w:rPr>
                <w:rFonts w:ascii="宋体" w:hAnsi="宋体" w:cs="Arial"/>
                <w:sz w:val="24"/>
              </w:rPr>
              <w:t>，则系统具有安全性(密码或其他身份控制)，以确保文件上的姓名代表执行指定功能的个人。</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bl>
    <w:p>
      <w:pPr>
        <w:spacing w:line="300" w:lineRule="auto"/>
        <w:ind w:firstLine="420"/>
        <w:outlineLvl w:val="0"/>
      </w:pPr>
    </w:p>
    <w:sectPr>
      <w:headerReference r:id="rId3" w:type="default"/>
      <w:footerReference r:id="rId4" w:type="default"/>
      <w:pgSz w:w="16838" w:h="11906" w:orient="landscape"/>
      <w:pgMar w:top="1134" w:right="1117" w:bottom="1134" w:left="1247" w:header="680"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Hlk64927486"/>
    <w:bookmarkStart w:id="1" w:name="_Hlk64927485"/>
    <w:r>
      <w:rPr>
        <w:rFonts w:hint="eastAsia" w:ascii="Arial" w:hAnsi="Arial" w:cs="Arial"/>
        <w:sz w:val="21"/>
      </w:rPr>
      <w:t>发布日期：</w:t>
    </w:r>
    <w:r>
      <w:rPr>
        <w:rFonts w:ascii="Arial" w:hAnsi="Arial" w:cs="Arial"/>
        <w:sz w:val="21"/>
      </w:rPr>
      <w:t>20</w:t>
    </w:r>
    <w:r>
      <w:rPr>
        <w:rFonts w:hint="eastAsia" w:ascii="Arial" w:hAnsi="Arial" w:cs="Arial"/>
        <w:sz w:val="21"/>
      </w:rPr>
      <w:t>20</w:t>
    </w:r>
    <w:r>
      <w:rPr>
        <w:rFonts w:ascii="Arial" w:hAnsi="Arial" w:cs="Arial"/>
        <w:sz w:val="21"/>
      </w:rPr>
      <w:t>年</w:t>
    </w:r>
    <w:r>
      <w:rPr>
        <w:rFonts w:hint="eastAsia" w:ascii="Arial" w:hAnsi="Arial" w:cs="Arial"/>
        <w:sz w:val="21"/>
      </w:rPr>
      <w:t>03</w:t>
    </w:r>
    <w:r>
      <w:rPr>
        <w:rFonts w:ascii="Arial" w:hAnsi="Arial" w:cs="Arial"/>
        <w:sz w:val="21"/>
      </w:rPr>
      <w:t>月</w:t>
    </w:r>
    <w:r>
      <w:rPr>
        <w:rFonts w:hint="eastAsia" w:ascii="Arial" w:hAnsi="Arial" w:cs="Arial"/>
        <w:sz w:val="21"/>
      </w:rPr>
      <w:t>31</w:t>
    </w:r>
    <w:r>
      <w:rPr>
        <w:rFonts w:ascii="Arial" w:hAnsi="Arial" w:cs="Arial"/>
        <w:sz w:val="21"/>
      </w:rPr>
      <w:t>日</w:t>
    </w:r>
    <w:r>
      <w:rPr>
        <w:rFonts w:hint="eastAsia" w:ascii="Arial" w:hAnsi="Arial" w:cs="Arial"/>
        <w:sz w:val="21"/>
      </w:rPr>
      <w:t xml:space="preserve">                                                                                   实施日期：20</w:t>
    </w:r>
    <w:r>
      <w:rPr>
        <w:rFonts w:ascii="Arial" w:hAnsi="Arial" w:cs="Arial"/>
        <w:sz w:val="21"/>
      </w:rPr>
      <w:t>20</w:t>
    </w:r>
    <w:r>
      <w:rPr>
        <w:rFonts w:hint="eastAsia" w:ascii="Arial" w:hAnsi="Arial" w:cs="Arial"/>
        <w:sz w:val="21"/>
      </w:rPr>
      <w:t>年04月01日</w:t>
    </w:r>
    <w:bookmarkEnd w:id="0"/>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CSTM/C-D-c002-2020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fldChar w:fldCharType="begin"/>
    </w:r>
    <w:r>
      <w:rPr>
        <w:rStyle w:val="8"/>
      </w:rPr>
      <w:instrText xml:space="preserve"> PAGE </w:instrText>
    </w:r>
    <w:r>
      <w:fldChar w:fldCharType="separate"/>
    </w:r>
    <w:r>
      <w:rPr>
        <w:rStyle w:val="8"/>
      </w:rPr>
      <w:t>3</w:t>
    </w:r>
    <w:r>
      <w:fldChar w:fldCharType="end"/>
    </w:r>
    <w:r>
      <w:rPr>
        <w:rStyle w:val="8"/>
        <w:rFonts w:hint="eastAsia"/>
      </w:rPr>
      <w:t>页  共</w:t>
    </w:r>
    <w:r>
      <w:fldChar w:fldCharType="begin"/>
    </w:r>
    <w:r>
      <w:rPr>
        <w:rStyle w:val="8"/>
      </w:rPr>
      <w:instrText xml:space="preserve"> NUMPAGES </w:instrText>
    </w:r>
    <w:r>
      <w:fldChar w:fldCharType="separate"/>
    </w:r>
    <w:r>
      <w:rPr>
        <w:rStyle w:val="8"/>
      </w:rPr>
      <w:t>22</w:t>
    </w:r>
    <w:r>
      <w:fldChar w:fldCharType="end"/>
    </w:r>
    <w:r>
      <w:rPr>
        <w:rStyle w:val="8"/>
        <w:rFonts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072B9"/>
    <w:multiLevelType w:val="multilevel"/>
    <w:tmpl w:val="2B4072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0E063E"/>
    <w:multiLevelType w:val="multilevel"/>
    <w:tmpl w:val="2E0E063E"/>
    <w:lvl w:ilvl="0" w:tentative="0">
      <w:start w:val="1"/>
      <w:numFmt w:val="bullet"/>
      <w:lvlText w:val=""/>
      <w:lvlJc w:val="left"/>
      <w:pPr>
        <w:ind w:left="420" w:hanging="420"/>
      </w:pPr>
      <w:rPr>
        <w:rFonts w:hint="default" w:ascii="Wingdings" w:hAnsi="Wingdings"/>
      </w:rPr>
    </w:lvl>
    <w:lvl w:ilvl="1" w:tentative="0">
      <w:start w:val="7"/>
      <w:numFmt w:val="bullet"/>
      <w:lvlText w:val="•"/>
      <w:lvlJc w:val="left"/>
      <w:pPr>
        <w:ind w:left="780" w:hanging="360"/>
      </w:pPr>
      <w:rPr>
        <w:rFonts w:hint="eastAsia" w:ascii="宋体" w:hAnsi="宋体"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4C546E"/>
    <w:multiLevelType w:val="multilevel"/>
    <w:tmpl w:val="394C54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D450F2B"/>
    <w:multiLevelType w:val="multilevel"/>
    <w:tmpl w:val="4D450F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200E"/>
    <w:rsid w:val="00020F54"/>
    <w:rsid w:val="000503B0"/>
    <w:rsid w:val="00056785"/>
    <w:rsid w:val="00056EE3"/>
    <w:rsid w:val="0006471C"/>
    <w:rsid w:val="000953E4"/>
    <w:rsid w:val="0009573A"/>
    <w:rsid w:val="000A2AF3"/>
    <w:rsid w:val="000A586F"/>
    <w:rsid w:val="000A5C05"/>
    <w:rsid w:val="000B2138"/>
    <w:rsid w:val="000C14E4"/>
    <w:rsid w:val="000D210A"/>
    <w:rsid w:val="000E2B35"/>
    <w:rsid w:val="000F1A7B"/>
    <w:rsid w:val="001047E9"/>
    <w:rsid w:val="00104E6F"/>
    <w:rsid w:val="00114BCC"/>
    <w:rsid w:val="00124FA2"/>
    <w:rsid w:val="00125A76"/>
    <w:rsid w:val="00152E8D"/>
    <w:rsid w:val="0015547B"/>
    <w:rsid w:val="0016144F"/>
    <w:rsid w:val="0017562A"/>
    <w:rsid w:val="001822CD"/>
    <w:rsid w:val="001852F6"/>
    <w:rsid w:val="001865CE"/>
    <w:rsid w:val="001875A6"/>
    <w:rsid w:val="00195D21"/>
    <w:rsid w:val="00196A51"/>
    <w:rsid w:val="001A3FFD"/>
    <w:rsid w:val="001A78AD"/>
    <w:rsid w:val="001B29E4"/>
    <w:rsid w:val="001B528B"/>
    <w:rsid w:val="001C42E4"/>
    <w:rsid w:val="001D51FA"/>
    <w:rsid w:val="001E087D"/>
    <w:rsid w:val="001E31E0"/>
    <w:rsid w:val="001F64AE"/>
    <w:rsid w:val="00200665"/>
    <w:rsid w:val="002042D3"/>
    <w:rsid w:val="002066F7"/>
    <w:rsid w:val="00223297"/>
    <w:rsid w:val="00235D48"/>
    <w:rsid w:val="00237CDA"/>
    <w:rsid w:val="00240355"/>
    <w:rsid w:val="00240F73"/>
    <w:rsid w:val="00267A60"/>
    <w:rsid w:val="00283ECC"/>
    <w:rsid w:val="00286956"/>
    <w:rsid w:val="00290C21"/>
    <w:rsid w:val="00294D0A"/>
    <w:rsid w:val="002C53F5"/>
    <w:rsid w:val="002C5EAE"/>
    <w:rsid w:val="002D33A8"/>
    <w:rsid w:val="002E536B"/>
    <w:rsid w:val="002F666F"/>
    <w:rsid w:val="003043D4"/>
    <w:rsid w:val="00313375"/>
    <w:rsid w:val="0033010C"/>
    <w:rsid w:val="00332065"/>
    <w:rsid w:val="00334CCE"/>
    <w:rsid w:val="00336D40"/>
    <w:rsid w:val="003468E1"/>
    <w:rsid w:val="00351745"/>
    <w:rsid w:val="00355062"/>
    <w:rsid w:val="00356007"/>
    <w:rsid w:val="00370269"/>
    <w:rsid w:val="00371124"/>
    <w:rsid w:val="00371793"/>
    <w:rsid w:val="003812DF"/>
    <w:rsid w:val="0038414C"/>
    <w:rsid w:val="00386617"/>
    <w:rsid w:val="00387636"/>
    <w:rsid w:val="00387FBC"/>
    <w:rsid w:val="003A72E9"/>
    <w:rsid w:val="003C2A14"/>
    <w:rsid w:val="003E0D1F"/>
    <w:rsid w:val="003E7F01"/>
    <w:rsid w:val="00406A82"/>
    <w:rsid w:val="004112BB"/>
    <w:rsid w:val="00421A30"/>
    <w:rsid w:val="00424E84"/>
    <w:rsid w:val="0043051B"/>
    <w:rsid w:val="00441F69"/>
    <w:rsid w:val="00446CF2"/>
    <w:rsid w:val="00453400"/>
    <w:rsid w:val="00453770"/>
    <w:rsid w:val="00474107"/>
    <w:rsid w:val="0047532E"/>
    <w:rsid w:val="00481E85"/>
    <w:rsid w:val="00492852"/>
    <w:rsid w:val="004B2847"/>
    <w:rsid w:val="004B6E7E"/>
    <w:rsid w:val="004D3677"/>
    <w:rsid w:val="004D5A47"/>
    <w:rsid w:val="004D7D53"/>
    <w:rsid w:val="004F52B2"/>
    <w:rsid w:val="00515392"/>
    <w:rsid w:val="00521DDD"/>
    <w:rsid w:val="0053003F"/>
    <w:rsid w:val="0053150E"/>
    <w:rsid w:val="00537D20"/>
    <w:rsid w:val="005450B9"/>
    <w:rsid w:val="00574247"/>
    <w:rsid w:val="0059051E"/>
    <w:rsid w:val="005B4B0B"/>
    <w:rsid w:val="005C0AD2"/>
    <w:rsid w:val="005D1E80"/>
    <w:rsid w:val="005D779E"/>
    <w:rsid w:val="005F166A"/>
    <w:rsid w:val="00612210"/>
    <w:rsid w:val="00637AB9"/>
    <w:rsid w:val="006526F8"/>
    <w:rsid w:val="00681AF2"/>
    <w:rsid w:val="00684422"/>
    <w:rsid w:val="00686596"/>
    <w:rsid w:val="006A2944"/>
    <w:rsid w:val="006A69D6"/>
    <w:rsid w:val="006B20BF"/>
    <w:rsid w:val="006B3D43"/>
    <w:rsid w:val="006C13BF"/>
    <w:rsid w:val="006D14A2"/>
    <w:rsid w:val="006D4031"/>
    <w:rsid w:val="006E640E"/>
    <w:rsid w:val="006E692B"/>
    <w:rsid w:val="006E7F44"/>
    <w:rsid w:val="006F188E"/>
    <w:rsid w:val="00700C21"/>
    <w:rsid w:val="00740AD5"/>
    <w:rsid w:val="00741939"/>
    <w:rsid w:val="00771E6C"/>
    <w:rsid w:val="00777D80"/>
    <w:rsid w:val="007840DA"/>
    <w:rsid w:val="00785096"/>
    <w:rsid w:val="00787A16"/>
    <w:rsid w:val="00793325"/>
    <w:rsid w:val="00795833"/>
    <w:rsid w:val="007A0174"/>
    <w:rsid w:val="007A0AAD"/>
    <w:rsid w:val="007A2533"/>
    <w:rsid w:val="007A2CB6"/>
    <w:rsid w:val="007C516F"/>
    <w:rsid w:val="007D0DDA"/>
    <w:rsid w:val="007D48DC"/>
    <w:rsid w:val="007D5FC6"/>
    <w:rsid w:val="007E3454"/>
    <w:rsid w:val="007E5A11"/>
    <w:rsid w:val="00804305"/>
    <w:rsid w:val="008047A8"/>
    <w:rsid w:val="008057C4"/>
    <w:rsid w:val="00834B7A"/>
    <w:rsid w:val="00835D0F"/>
    <w:rsid w:val="00842203"/>
    <w:rsid w:val="00846A3D"/>
    <w:rsid w:val="0085192C"/>
    <w:rsid w:val="00864B1E"/>
    <w:rsid w:val="00865993"/>
    <w:rsid w:val="00873B72"/>
    <w:rsid w:val="00893163"/>
    <w:rsid w:val="00895024"/>
    <w:rsid w:val="008A0A5B"/>
    <w:rsid w:val="008A2D0E"/>
    <w:rsid w:val="008C79CB"/>
    <w:rsid w:val="008D0C3D"/>
    <w:rsid w:val="008D76C6"/>
    <w:rsid w:val="00907428"/>
    <w:rsid w:val="00920E6E"/>
    <w:rsid w:val="00931B26"/>
    <w:rsid w:val="0093228B"/>
    <w:rsid w:val="009534A9"/>
    <w:rsid w:val="00962978"/>
    <w:rsid w:val="00963BD8"/>
    <w:rsid w:val="00963F9C"/>
    <w:rsid w:val="00981F2B"/>
    <w:rsid w:val="00982B35"/>
    <w:rsid w:val="00990E8F"/>
    <w:rsid w:val="009A325E"/>
    <w:rsid w:val="009B150F"/>
    <w:rsid w:val="009C0E2E"/>
    <w:rsid w:val="009D006D"/>
    <w:rsid w:val="009D5F12"/>
    <w:rsid w:val="009E200E"/>
    <w:rsid w:val="009E3B75"/>
    <w:rsid w:val="009E3DAA"/>
    <w:rsid w:val="00A0744D"/>
    <w:rsid w:val="00A10C15"/>
    <w:rsid w:val="00A1184D"/>
    <w:rsid w:val="00A15DAA"/>
    <w:rsid w:val="00A20A3C"/>
    <w:rsid w:val="00A27117"/>
    <w:rsid w:val="00A4798F"/>
    <w:rsid w:val="00A60967"/>
    <w:rsid w:val="00A63136"/>
    <w:rsid w:val="00A66A2C"/>
    <w:rsid w:val="00A77ACB"/>
    <w:rsid w:val="00A92F16"/>
    <w:rsid w:val="00A974D9"/>
    <w:rsid w:val="00AA4804"/>
    <w:rsid w:val="00AC18E3"/>
    <w:rsid w:val="00AD159D"/>
    <w:rsid w:val="00AE24C1"/>
    <w:rsid w:val="00B023AE"/>
    <w:rsid w:val="00B22EC4"/>
    <w:rsid w:val="00B3300A"/>
    <w:rsid w:val="00B342CB"/>
    <w:rsid w:val="00B46979"/>
    <w:rsid w:val="00B64240"/>
    <w:rsid w:val="00B724C5"/>
    <w:rsid w:val="00B74F8F"/>
    <w:rsid w:val="00BA2944"/>
    <w:rsid w:val="00BA72D8"/>
    <w:rsid w:val="00BB0323"/>
    <w:rsid w:val="00BB6E0A"/>
    <w:rsid w:val="00BC0D8A"/>
    <w:rsid w:val="00BC1C1F"/>
    <w:rsid w:val="00BC5AB7"/>
    <w:rsid w:val="00BC64F0"/>
    <w:rsid w:val="00BC6B0F"/>
    <w:rsid w:val="00BD3025"/>
    <w:rsid w:val="00BE5023"/>
    <w:rsid w:val="00C0055D"/>
    <w:rsid w:val="00C10681"/>
    <w:rsid w:val="00C127D8"/>
    <w:rsid w:val="00C3060B"/>
    <w:rsid w:val="00C41B5A"/>
    <w:rsid w:val="00C41ED3"/>
    <w:rsid w:val="00C52D0D"/>
    <w:rsid w:val="00C54BED"/>
    <w:rsid w:val="00C57A51"/>
    <w:rsid w:val="00C7440A"/>
    <w:rsid w:val="00C755A7"/>
    <w:rsid w:val="00C80F53"/>
    <w:rsid w:val="00C83511"/>
    <w:rsid w:val="00C86997"/>
    <w:rsid w:val="00C976EA"/>
    <w:rsid w:val="00CA1240"/>
    <w:rsid w:val="00CB353A"/>
    <w:rsid w:val="00CE622D"/>
    <w:rsid w:val="00CF541D"/>
    <w:rsid w:val="00CF7F16"/>
    <w:rsid w:val="00D04A04"/>
    <w:rsid w:val="00D05968"/>
    <w:rsid w:val="00D117AA"/>
    <w:rsid w:val="00D13D2B"/>
    <w:rsid w:val="00D3213C"/>
    <w:rsid w:val="00D32B49"/>
    <w:rsid w:val="00D45C5B"/>
    <w:rsid w:val="00D61B31"/>
    <w:rsid w:val="00D67663"/>
    <w:rsid w:val="00D70BA1"/>
    <w:rsid w:val="00D73256"/>
    <w:rsid w:val="00D77D70"/>
    <w:rsid w:val="00D96D2D"/>
    <w:rsid w:val="00DA0791"/>
    <w:rsid w:val="00DC249F"/>
    <w:rsid w:val="00DC369C"/>
    <w:rsid w:val="00DC7898"/>
    <w:rsid w:val="00DD3D82"/>
    <w:rsid w:val="00DD7AB3"/>
    <w:rsid w:val="00DE58FE"/>
    <w:rsid w:val="00DE612F"/>
    <w:rsid w:val="00DF2AB0"/>
    <w:rsid w:val="00DF56E2"/>
    <w:rsid w:val="00E025A8"/>
    <w:rsid w:val="00E113B0"/>
    <w:rsid w:val="00E30C90"/>
    <w:rsid w:val="00E52F76"/>
    <w:rsid w:val="00E54D1E"/>
    <w:rsid w:val="00E632E4"/>
    <w:rsid w:val="00E63322"/>
    <w:rsid w:val="00E72FBE"/>
    <w:rsid w:val="00E950BE"/>
    <w:rsid w:val="00EB586D"/>
    <w:rsid w:val="00EB5C57"/>
    <w:rsid w:val="00EC2317"/>
    <w:rsid w:val="00EC3F20"/>
    <w:rsid w:val="00EE7426"/>
    <w:rsid w:val="00EE7DCF"/>
    <w:rsid w:val="00EF02EE"/>
    <w:rsid w:val="00EF3B9C"/>
    <w:rsid w:val="00F0201B"/>
    <w:rsid w:val="00F02A94"/>
    <w:rsid w:val="00F07800"/>
    <w:rsid w:val="00F15B36"/>
    <w:rsid w:val="00F16705"/>
    <w:rsid w:val="00F24D28"/>
    <w:rsid w:val="00F25BFD"/>
    <w:rsid w:val="00F27B5F"/>
    <w:rsid w:val="00F325B1"/>
    <w:rsid w:val="00F376C5"/>
    <w:rsid w:val="00F609EC"/>
    <w:rsid w:val="00F66E65"/>
    <w:rsid w:val="00F75A8B"/>
    <w:rsid w:val="00F9111F"/>
    <w:rsid w:val="00F96820"/>
    <w:rsid w:val="00F96A24"/>
    <w:rsid w:val="00FA5A21"/>
    <w:rsid w:val="00FB385A"/>
    <w:rsid w:val="00FB3C99"/>
    <w:rsid w:val="00FC3664"/>
    <w:rsid w:val="00FD1F88"/>
    <w:rsid w:val="00FD40FA"/>
    <w:rsid w:val="00FD4925"/>
    <w:rsid w:val="00FD79FB"/>
    <w:rsid w:val="00FE3791"/>
    <w:rsid w:val="00FE3F92"/>
    <w:rsid w:val="00FF43CE"/>
    <w:rsid w:val="082D7FBF"/>
    <w:rsid w:val="0C6311F3"/>
    <w:rsid w:val="0CAB50AF"/>
    <w:rsid w:val="1C033F30"/>
    <w:rsid w:val="1C084FB8"/>
    <w:rsid w:val="22D1440A"/>
    <w:rsid w:val="28CD0420"/>
    <w:rsid w:val="2EAB5F3B"/>
    <w:rsid w:val="2F9D60A5"/>
    <w:rsid w:val="394F66FE"/>
    <w:rsid w:val="395476CF"/>
    <w:rsid w:val="3E162C99"/>
    <w:rsid w:val="3EB212A1"/>
    <w:rsid w:val="4690212B"/>
    <w:rsid w:val="47931193"/>
    <w:rsid w:val="5BBA34D6"/>
    <w:rsid w:val="611F660B"/>
    <w:rsid w:val="6228447D"/>
    <w:rsid w:val="740B004B"/>
    <w:rsid w:val="74E61E13"/>
    <w:rsid w:val="7E71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rFonts w:ascii="仿宋_GB2312"/>
      <w:sz w:val="24"/>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link w:val="4"/>
    <w:qFormat/>
    <w:uiPriority w:val="0"/>
    <w:rPr>
      <w:kern w:val="2"/>
      <w:sz w:val="18"/>
      <w:szCs w:val="18"/>
    </w:rPr>
  </w:style>
  <w:style w:type="character" w:customStyle="1" w:styleId="10">
    <w:name w:val="正文文本 字符"/>
    <w:link w:val="2"/>
    <w:qFormat/>
    <w:uiPriority w:val="0"/>
    <w:rPr>
      <w:rFonts w:ascii="仿宋_GB2312"/>
      <w:kern w:val="2"/>
      <w:sz w:val="24"/>
      <w:szCs w:val="24"/>
    </w:rPr>
  </w:style>
  <w:style w:type="paragraph" w:styleId="11">
    <w:name w:val="List Paragraph"/>
    <w:basedOn w:val="1"/>
    <w:qFormat/>
    <w:uiPriority w:val="1"/>
    <w:pPr>
      <w:ind w:firstLine="420" w:firstLineChars="200"/>
    </w:pPr>
  </w:style>
  <w:style w:type="paragraph" w:customStyle="1" w:styleId="12">
    <w:name w:val="Table Paragraph"/>
    <w:basedOn w:val="1"/>
    <w:qFormat/>
    <w:uiPriority w:val="1"/>
    <w:pPr>
      <w:autoSpaceDE w:val="0"/>
      <w:autoSpaceDN w:val="0"/>
      <w:jc w:val="left"/>
    </w:pPr>
    <w:rPr>
      <w:rFonts w:ascii="Arial" w:hAnsi="Arial" w:eastAsia="Arial" w:cs="Arial"/>
      <w:kern w:val="0"/>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cnas</Company>
  <Pages>13</Pages>
  <Words>810</Words>
  <Characters>4622</Characters>
  <Lines>38</Lines>
  <Paragraphs>10</Paragraphs>
  <TotalTime>3</TotalTime>
  <ScaleCrop>false</ScaleCrop>
  <LinksUpToDate>false</LinksUpToDate>
  <CharactersWithSpaces>5422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2021-02-20T01:21:00Z</dcterms:created>
  <dc:creator>cyq</dc:creator>
  <cp:lastModifiedBy>刘明</cp:lastModifiedBy>
  <cp:lastPrinted>2012-12-18T02:38:00Z</cp:lastPrinted>
  <dcterms:modified xsi:type="dcterms:W3CDTF">2022-03-14T07:57:33Z</dcterms:modified>
  <dc:title>附件1                                                                                                  任务编号：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5DD7D7F61E2F4A30AC455DF02BEFC18D</vt:lpwstr>
  </property>
</Properties>
</file>