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C7E32C">
      <w:pPr>
        <w:pStyle w:val="4"/>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附件1：</w:t>
      </w:r>
    </w:p>
    <w:p w14:paraId="4627E4CD">
      <w:pPr>
        <w:pStyle w:val="4"/>
        <w:jc w:val="center"/>
        <w:rPr>
          <w:rFonts w:cs="宋体" w:asciiTheme="minorEastAsia" w:hAnsiTheme="minorEastAsia" w:eastAsiaTheme="minorEastAsia"/>
          <w:b/>
          <w:sz w:val="32"/>
          <w:szCs w:val="32"/>
        </w:rPr>
      </w:pPr>
      <w:r>
        <w:rPr>
          <w:rFonts w:hint="eastAsia" w:cs="宋体" w:asciiTheme="minorEastAsia" w:hAnsiTheme="minorEastAsia" w:eastAsiaTheme="minorEastAsia"/>
          <w:b/>
          <w:sz w:val="32"/>
          <w:szCs w:val="32"/>
        </w:rPr>
        <w:t>CSTM/FC98各技术委员会与分技术委员会职能范围</w:t>
      </w:r>
    </w:p>
    <w:tbl>
      <w:tblPr>
        <w:tblStyle w:val="2"/>
        <w:tblpPr w:leftFromText="180" w:rightFromText="180" w:vertAnchor="page" w:horzAnchor="margin" w:tblpY="2855"/>
        <w:tblW w:w="9042" w:type="dxa"/>
        <w:tblInd w:w="0" w:type="dxa"/>
        <w:tblLayout w:type="fixed"/>
        <w:tblCellMar>
          <w:top w:w="0" w:type="dxa"/>
          <w:left w:w="108" w:type="dxa"/>
          <w:bottom w:w="0" w:type="dxa"/>
          <w:right w:w="108" w:type="dxa"/>
        </w:tblCellMar>
      </w:tblPr>
      <w:tblGrid>
        <w:gridCol w:w="959"/>
        <w:gridCol w:w="2452"/>
        <w:gridCol w:w="5631"/>
      </w:tblGrid>
      <w:tr w14:paraId="6D1E1876">
        <w:tblPrEx>
          <w:tblCellMar>
            <w:top w:w="0" w:type="dxa"/>
            <w:left w:w="108" w:type="dxa"/>
            <w:bottom w:w="0" w:type="dxa"/>
            <w:right w:w="108" w:type="dxa"/>
          </w:tblCellMar>
        </w:tblPrEx>
        <w:trPr>
          <w:trHeight w:val="855" w:hRule="atLeast"/>
        </w:trPr>
        <w:tc>
          <w:tcPr>
            <w:tcW w:w="9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A56940">
            <w:pPr>
              <w:pStyle w:val="4"/>
              <w:snapToGrid w:val="0"/>
              <w:jc w:val="center"/>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代码</w:t>
            </w:r>
          </w:p>
        </w:tc>
        <w:tc>
          <w:tcPr>
            <w:tcW w:w="2452" w:type="dxa"/>
            <w:tcBorders>
              <w:top w:val="single" w:color="auto" w:sz="4" w:space="0"/>
              <w:left w:val="nil"/>
              <w:bottom w:val="single" w:color="auto" w:sz="4" w:space="0"/>
              <w:right w:val="single" w:color="auto" w:sz="4" w:space="0"/>
            </w:tcBorders>
            <w:shd w:val="clear" w:color="auto" w:fill="auto"/>
            <w:noWrap/>
            <w:vAlign w:val="center"/>
          </w:tcPr>
          <w:p w14:paraId="11DAC20A">
            <w:pPr>
              <w:pStyle w:val="4"/>
              <w:snapToGrid w:val="0"/>
              <w:jc w:val="center"/>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lang w:val="en-US" w:eastAsia="zh-CN"/>
              </w:rPr>
              <w:t>委员会</w:t>
            </w:r>
            <w:r>
              <w:rPr>
                <w:rFonts w:hint="eastAsia" w:cs="宋体" w:asciiTheme="minorEastAsia" w:hAnsiTheme="minorEastAsia" w:eastAsiaTheme="minorEastAsia"/>
                <w:b/>
                <w:bCs/>
                <w:sz w:val="28"/>
                <w:szCs w:val="28"/>
              </w:rPr>
              <w:t>名称</w:t>
            </w:r>
          </w:p>
        </w:tc>
        <w:tc>
          <w:tcPr>
            <w:tcW w:w="5631" w:type="dxa"/>
            <w:tcBorders>
              <w:top w:val="single" w:color="auto" w:sz="4" w:space="0"/>
              <w:left w:val="nil"/>
              <w:bottom w:val="single" w:color="auto" w:sz="4" w:space="0"/>
              <w:right w:val="single" w:color="auto" w:sz="4" w:space="0"/>
            </w:tcBorders>
            <w:shd w:val="clear" w:color="auto" w:fill="auto"/>
            <w:noWrap/>
            <w:vAlign w:val="center"/>
          </w:tcPr>
          <w:p w14:paraId="2D24A5F8">
            <w:pPr>
              <w:pStyle w:val="4"/>
              <w:snapToGrid w:val="0"/>
              <w:jc w:val="center"/>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职能范围</w:t>
            </w:r>
          </w:p>
        </w:tc>
      </w:tr>
      <w:tr w14:paraId="2ECA20C6">
        <w:tblPrEx>
          <w:tblCellMar>
            <w:top w:w="0" w:type="dxa"/>
            <w:left w:w="108" w:type="dxa"/>
            <w:bottom w:w="0" w:type="dxa"/>
            <w:right w:w="108" w:type="dxa"/>
          </w:tblCellMar>
        </w:tblPrEx>
        <w:trPr>
          <w:trHeight w:val="1842" w:hRule="atLeast"/>
        </w:trPr>
        <w:tc>
          <w:tcPr>
            <w:tcW w:w="9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D14080">
            <w:pPr>
              <w:pStyle w:val="4"/>
              <w:snapToGrid w:val="0"/>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TC01</w:t>
            </w:r>
          </w:p>
        </w:tc>
        <w:tc>
          <w:tcPr>
            <w:tcW w:w="2452" w:type="dxa"/>
            <w:tcBorders>
              <w:top w:val="single" w:color="auto" w:sz="4" w:space="0"/>
              <w:left w:val="nil"/>
              <w:bottom w:val="single" w:color="auto" w:sz="4" w:space="0"/>
              <w:right w:val="single" w:color="auto" w:sz="4" w:space="0"/>
            </w:tcBorders>
            <w:shd w:val="clear" w:color="auto" w:fill="auto"/>
            <w:noWrap/>
            <w:vAlign w:val="center"/>
          </w:tcPr>
          <w:p w14:paraId="67F5F32F">
            <w:pPr>
              <w:pStyle w:val="4"/>
              <w:snapToGrid w:val="0"/>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科学试验基础通用标准化技术委员会</w:t>
            </w:r>
          </w:p>
        </w:tc>
        <w:tc>
          <w:tcPr>
            <w:tcW w:w="5631" w:type="dxa"/>
            <w:tcBorders>
              <w:top w:val="single" w:color="auto" w:sz="4" w:space="0"/>
              <w:left w:val="nil"/>
              <w:bottom w:val="single" w:color="auto" w:sz="4" w:space="0"/>
              <w:right w:val="single" w:color="auto" w:sz="4" w:space="0"/>
            </w:tcBorders>
            <w:shd w:val="clear" w:color="auto" w:fill="auto"/>
            <w:vAlign w:val="center"/>
          </w:tcPr>
          <w:p w14:paraId="058D2701">
            <w:pPr>
              <w:pStyle w:val="4"/>
              <w:snapToGrid w:val="0"/>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负责科学试验领域的基础、共性的标准制修订工作。包括：科学试验领域术语定义、通用要求、质量保证、数据规范与要求、数据处理、新模型、新算法、实验室安全以及实验室建设规范等相关标准。</w:t>
            </w:r>
          </w:p>
        </w:tc>
      </w:tr>
      <w:tr w14:paraId="1DE55036">
        <w:tblPrEx>
          <w:tblCellMar>
            <w:top w:w="0" w:type="dxa"/>
            <w:left w:w="108" w:type="dxa"/>
            <w:bottom w:w="0" w:type="dxa"/>
            <w:right w:w="108" w:type="dxa"/>
          </w:tblCellMar>
        </w:tblPrEx>
        <w:trPr>
          <w:trHeight w:val="1220" w:hRule="atLeast"/>
        </w:trPr>
        <w:tc>
          <w:tcPr>
            <w:tcW w:w="959" w:type="dxa"/>
            <w:tcBorders>
              <w:top w:val="nil"/>
              <w:left w:val="single" w:color="auto" w:sz="4" w:space="0"/>
              <w:bottom w:val="single" w:color="auto" w:sz="4" w:space="0"/>
              <w:right w:val="single" w:color="auto" w:sz="4" w:space="0"/>
            </w:tcBorders>
            <w:shd w:val="clear" w:color="auto" w:fill="auto"/>
            <w:noWrap/>
            <w:vAlign w:val="center"/>
          </w:tcPr>
          <w:p w14:paraId="008AFD91">
            <w:pPr>
              <w:pStyle w:val="4"/>
              <w:snapToGrid w:val="0"/>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TC02</w:t>
            </w:r>
          </w:p>
        </w:tc>
        <w:tc>
          <w:tcPr>
            <w:tcW w:w="2452" w:type="dxa"/>
            <w:tcBorders>
              <w:top w:val="nil"/>
              <w:left w:val="nil"/>
              <w:bottom w:val="single" w:color="auto" w:sz="4" w:space="0"/>
              <w:right w:val="single" w:color="auto" w:sz="4" w:space="0"/>
            </w:tcBorders>
            <w:shd w:val="clear" w:color="auto" w:fill="auto"/>
            <w:noWrap/>
            <w:vAlign w:val="center"/>
          </w:tcPr>
          <w:p w14:paraId="66B8B6E2">
            <w:pPr>
              <w:pStyle w:val="4"/>
              <w:snapToGrid w:val="0"/>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科学试验创新方法标准化技术委员会</w:t>
            </w:r>
          </w:p>
        </w:tc>
        <w:tc>
          <w:tcPr>
            <w:tcW w:w="5631" w:type="dxa"/>
            <w:tcBorders>
              <w:top w:val="nil"/>
              <w:left w:val="nil"/>
              <w:bottom w:val="single" w:color="auto" w:sz="4" w:space="0"/>
              <w:right w:val="single" w:color="auto" w:sz="4" w:space="0"/>
            </w:tcBorders>
            <w:shd w:val="clear" w:color="auto" w:fill="auto"/>
            <w:vAlign w:val="center"/>
          </w:tcPr>
          <w:p w14:paraId="672A3B44">
            <w:pPr>
              <w:pStyle w:val="4"/>
              <w:snapToGrid w:val="0"/>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负责科学试验领域各专业由创新的理论、原理、路径、解析、流程、参量、谱图、应用、装备与功能等所形成的科学试验方法及表征技术相关标准的制修订。</w:t>
            </w:r>
          </w:p>
        </w:tc>
      </w:tr>
      <w:tr w14:paraId="65080902">
        <w:tblPrEx>
          <w:tblCellMar>
            <w:top w:w="0" w:type="dxa"/>
            <w:left w:w="108" w:type="dxa"/>
            <w:bottom w:w="0" w:type="dxa"/>
            <w:right w:w="108" w:type="dxa"/>
          </w:tblCellMar>
        </w:tblPrEx>
        <w:trPr>
          <w:trHeight w:val="1220" w:hRule="atLeast"/>
        </w:trPr>
        <w:tc>
          <w:tcPr>
            <w:tcW w:w="959" w:type="dxa"/>
            <w:tcBorders>
              <w:top w:val="nil"/>
              <w:left w:val="single" w:color="auto" w:sz="4" w:space="0"/>
              <w:bottom w:val="single" w:color="auto" w:sz="4" w:space="0"/>
              <w:right w:val="single" w:color="auto" w:sz="4" w:space="0"/>
            </w:tcBorders>
            <w:shd w:val="clear" w:color="auto" w:fill="auto"/>
            <w:noWrap/>
            <w:vAlign w:val="center"/>
          </w:tcPr>
          <w:p w14:paraId="6896E28D">
            <w:pPr>
              <w:pStyle w:val="4"/>
              <w:snapToGrid w:val="0"/>
              <w:rPr>
                <w:rFonts w:hint="eastAsia"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TC02</w:t>
            </w:r>
          </w:p>
          <w:p w14:paraId="65B1448A">
            <w:pPr>
              <w:pStyle w:val="4"/>
              <w:snapToGrid w:val="0"/>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/SC01</w:t>
            </w:r>
          </w:p>
        </w:tc>
        <w:tc>
          <w:tcPr>
            <w:tcW w:w="2452" w:type="dxa"/>
            <w:tcBorders>
              <w:top w:val="nil"/>
              <w:left w:val="nil"/>
              <w:bottom w:val="single" w:color="auto" w:sz="4" w:space="0"/>
              <w:right w:val="single" w:color="auto" w:sz="4" w:space="0"/>
            </w:tcBorders>
            <w:shd w:val="clear" w:color="auto" w:fill="auto"/>
            <w:noWrap/>
            <w:vAlign w:val="center"/>
          </w:tcPr>
          <w:p w14:paraId="2D0D05C9">
            <w:pPr>
              <w:pStyle w:val="4"/>
              <w:snapToGrid w:val="0"/>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成分组分创新方法标准化分技术委员会</w:t>
            </w:r>
          </w:p>
        </w:tc>
        <w:tc>
          <w:tcPr>
            <w:tcW w:w="5631" w:type="dxa"/>
            <w:tcBorders>
              <w:top w:val="nil"/>
              <w:left w:val="nil"/>
              <w:bottom w:val="single" w:color="auto" w:sz="4" w:space="0"/>
              <w:right w:val="single" w:color="auto" w:sz="4" w:space="0"/>
            </w:tcBorders>
            <w:shd w:val="clear" w:color="auto" w:fill="auto"/>
            <w:vAlign w:val="center"/>
          </w:tcPr>
          <w:p w14:paraId="71B0C1A5">
            <w:pPr>
              <w:pStyle w:val="4"/>
              <w:snapToGrid w:val="0"/>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制定成分组分试验方法（标准），包括：未知物鉴定、各类无机、有机及复合材料的定性与定量分析、原料与产品材质鉴定与纯度分析、样品前处理、化学反应过程及原位检测等创新型标准，原料及标准试剂（样品）测试方法，化学专业试验新技术新方法等。</w:t>
            </w:r>
          </w:p>
        </w:tc>
      </w:tr>
      <w:tr w14:paraId="70FE673D">
        <w:tblPrEx>
          <w:tblCellMar>
            <w:top w:w="0" w:type="dxa"/>
            <w:left w:w="108" w:type="dxa"/>
            <w:bottom w:w="0" w:type="dxa"/>
            <w:right w:w="108" w:type="dxa"/>
          </w:tblCellMar>
        </w:tblPrEx>
        <w:trPr>
          <w:trHeight w:val="1220" w:hRule="atLeast"/>
        </w:trPr>
        <w:tc>
          <w:tcPr>
            <w:tcW w:w="9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11907C">
            <w:pPr>
              <w:pStyle w:val="4"/>
              <w:snapToGrid w:val="0"/>
              <w:rPr>
                <w:rFonts w:hint="eastAsia"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TC02</w:t>
            </w:r>
          </w:p>
          <w:p w14:paraId="67EB58DA">
            <w:pPr>
              <w:pStyle w:val="4"/>
              <w:snapToGrid w:val="0"/>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/SC02</w:t>
            </w:r>
          </w:p>
        </w:tc>
        <w:tc>
          <w:tcPr>
            <w:tcW w:w="245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D78E5E">
            <w:pPr>
              <w:pStyle w:val="4"/>
              <w:snapToGrid w:val="0"/>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结构形貌创新方法标准化分技术委员会</w:t>
            </w:r>
          </w:p>
        </w:tc>
        <w:tc>
          <w:tcPr>
            <w:tcW w:w="5631" w:type="dxa"/>
            <w:tcBorders>
              <w:top w:val="single" w:color="auto" w:sz="4" w:space="0"/>
              <w:left w:val="nil"/>
              <w:bottom w:val="single" w:color="auto" w:sz="4" w:space="0"/>
              <w:right w:val="single" w:color="auto" w:sz="4" w:space="0"/>
            </w:tcBorders>
            <w:shd w:val="clear" w:color="auto" w:fill="auto"/>
            <w:vAlign w:val="center"/>
          </w:tcPr>
          <w:p w14:paraId="052320D0">
            <w:pPr>
              <w:pStyle w:val="4"/>
              <w:snapToGrid w:val="0"/>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 xml:space="preserve">制定结构形貌的科学试验创新方法（标准），包括纳米材料、化学化工材料、生物材料、光学材料等的结构形貌表征相关的各种科研成果转化的创新型标准及科学试验新技术新方法。 </w:t>
            </w:r>
          </w:p>
        </w:tc>
      </w:tr>
      <w:tr w14:paraId="5E63B4D5">
        <w:tblPrEx>
          <w:tblCellMar>
            <w:top w:w="0" w:type="dxa"/>
            <w:left w:w="108" w:type="dxa"/>
            <w:bottom w:w="0" w:type="dxa"/>
            <w:right w:w="108" w:type="dxa"/>
          </w:tblCellMar>
        </w:tblPrEx>
        <w:trPr>
          <w:trHeight w:val="1220" w:hRule="atLeast"/>
        </w:trPr>
        <w:tc>
          <w:tcPr>
            <w:tcW w:w="9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115708">
            <w:pPr>
              <w:pStyle w:val="4"/>
              <w:snapToGrid w:val="0"/>
              <w:rPr>
                <w:rFonts w:hint="eastAsia"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TC02</w:t>
            </w:r>
          </w:p>
          <w:p w14:paraId="21ABB9F4">
            <w:pPr>
              <w:pStyle w:val="4"/>
              <w:snapToGrid w:val="0"/>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/SC03</w:t>
            </w:r>
          </w:p>
        </w:tc>
        <w:tc>
          <w:tcPr>
            <w:tcW w:w="2452" w:type="dxa"/>
            <w:tcBorders>
              <w:top w:val="single" w:color="auto" w:sz="4" w:space="0"/>
              <w:left w:val="nil"/>
              <w:bottom w:val="single" w:color="auto" w:sz="4" w:space="0"/>
              <w:right w:val="single" w:color="auto" w:sz="4" w:space="0"/>
            </w:tcBorders>
            <w:shd w:val="clear" w:color="auto" w:fill="auto"/>
            <w:noWrap/>
            <w:vAlign w:val="center"/>
          </w:tcPr>
          <w:p w14:paraId="35BF09FA">
            <w:pPr>
              <w:pStyle w:val="4"/>
              <w:snapToGrid w:val="0"/>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生命科学创新方法标准化分技术委员会</w:t>
            </w:r>
          </w:p>
        </w:tc>
        <w:tc>
          <w:tcPr>
            <w:tcW w:w="5631" w:type="dxa"/>
            <w:tcBorders>
              <w:top w:val="single" w:color="auto" w:sz="4" w:space="0"/>
              <w:left w:val="nil"/>
              <w:bottom w:val="single" w:color="auto" w:sz="4" w:space="0"/>
              <w:right w:val="single" w:color="auto" w:sz="4" w:space="0"/>
            </w:tcBorders>
            <w:shd w:val="clear" w:color="auto" w:fill="auto"/>
            <w:vAlign w:val="center"/>
          </w:tcPr>
          <w:p w14:paraId="702596BA">
            <w:pPr>
              <w:pStyle w:val="4"/>
              <w:snapToGrid w:val="0"/>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制定生命科学试验创新方法（标准)，包括：细胞学、遗传学、生理学、生态学以及分子生物学及生物技术、微生物与代谢工程、生物医药、生物医学、 生物材料、医疗器械等科研成果转化的创新型标准，生命科学试验新技术新方法等。</w:t>
            </w:r>
          </w:p>
        </w:tc>
      </w:tr>
      <w:tr w14:paraId="42A97630">
        <w:tblPrEx>
          <w:tblCellMar>
            <w:top w:w="0" w:type="dxa"/>
            <w:left w:w="108" w:type="dxa"/>
            <w:bottom w:w="0" w:type="dxa"/>
            <w:right w:w="108" w:type="dxa"/>
          </w:tblCellMar>
        </w:tblPrEx>
        <w:trPr>
          <w:trHeight w:val="1283" w:hRule="atLeast"/>
        </w:trPr>
        <w:tc>
          <w:tcPr>
            <w:tcW w:w="959" w:type="dxa"/>
            <w:tcBorders>
              <w:top w:val="nil"/>
              <w:left w:val="single" w:color="auto" w:sz="4" w:space="0"/>
              <w:bottom w:val="single" w:color="auto" w:sz="4" w:space="0"/>
              <w:right w:val="single" w:color="auto" w:sz="4" w:space="0"/>
            </w:tcBorders>
            <w:shd w:val="clear" w:color="auto" w:fill="auto"/>
            <w:noWrap/>
            <w:vAlign w:val="center"/>
          </w:tcPr>
          <w:p w14:paraId="3C5C9B6B">
            <w:pPr>
              <w:pStyle w:val="4"/>
              <w:snapToGrid w:val="0"/>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TC03</w:t>
            </w:r>
          </w:p>
        </w:tc>
        <w:tc>
          <w:tcPr>
            <w:tcW w:w="2452" w:type="dxa"/>
            <w:tcBorders>
              <w:top w:val="nil"/>
              <w:left w:val="nil"/>
              <w:bottom w:val="single" w:color="auto" w:sz="4" w:space="0"/>
              <w:right w:val="single" w:color="auto" w:sz="4" w:space="0"/>
            </w:tcBorders>
            <w:shd w:val="clear" w:color="auto" w:fill="auto"/>
            <w:noWrap/>
            <w:vAlign w:val="center"/>
          </w:tcPr>
          <w:p w14:paraId="37FC6F35">
            <w:pPr>
              <w:pStyle w:val="4"/>
              <w:snapToGrid w:val="0"/>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科学试验装置标准化技术委员会</w:t>
            </w:r>
          </w:p>
        </w:tc>
        <w:tc>
          <w:tcPr>
            <w:tcW w:w="5631" w:type="dxa"/>
            <w:tcBorders>
              <w:top w:val="nil"/>
              <w:left w:val="nil"/>
              <w:bottom w:val="single" w:color="auto" w:sz="4" w:space="0"/>
              <w:right w:val="single" w:color="auto" w:sz="4" w:space="0"/>
            </w:tcBorders>
            <w:shd w:val="clear" w:color="auto" w:fill="auto"/>
            <w:vAlign w:val="center"/>
          </w:tcPr>
          <w:p w14:paraId="6D383568">
            <w:pPr>
              <w:pStyle w:val="4"/>
              <w:snapToGrid w:val="0"/>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负责科学试验领域各专业创新概念的科学试验装置、测量系统、设备功能、测量模型、测量软件等相关标准的制修订，以及创新装置量值溯源相关标准的制修订。</w:t>
            </w:r>
          </w:p>
        </w:tc>
      </w:tr>
      <w:tr w14:paraId="25BB459E">
        <w:tblPrEx>
          <w:tblCellMar>
            <w:top w:w="0" w:type="dxa"/>
            <w:left w:w="108" w:type="dxa"/>
            <w:bottom w:w="0" w:type="dxa"/>
            <w:right w:w="108" w:type="dxa"/>
          </w:tblCellMar>
        </w:tblPrEx>
        <w:trPr>
          <w:trHeight w:val="1022" w:hRule="atLeast"/>
        </w:trPr>
        <w:tc>
          <w:tcPr>
            <w:tcW w:w="959" w:type="dxa"/>
            <w:tcBorders>
              <w:top w:val="nil"/>
              <w:left w:val="single" w:color="auto" w:sz="4" w:space="0"/>
              <w:bottom w:val="single" w:color="auto" w:sz="4" w:space="0"/>
              <w:right w:val="single" w:color="auto" w:sz="4" w:space="0"/>
            </w:tcBorders>
            <w:shd w:val="clear" w:color="auto" w:fill="auto"/>
            <w:noWrap/>
            <w:vAlign w:val="center"/>
          </w:tcPr>
          <w:p w14:paraId="690C2EAD">
            <w:pPr>
              <w:pStyle w:val="4"/>
              <w:snapToGrid w:val="0"/>
              <w:rPr>
                <w:rFonts w:hint="eastAsia"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TC03</w:t>
            </w:r>
          </w:p>
          <w:p w14:paraId="58AAC73A">
            <w:pPr>
              <w:pStyle w:val="4"/>
              <w:snapToGrid w:val="0"/>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/SC01</w:t>
            </w:r>
          </w:p>
        </w:tc>
        <w:tc>
          <w:tcPr>
            <w:tcW w:w="2452" w:type="dxa"/>
            <w:tcBorders>
              <w:top w:val="nil"/>
              <w:left w:val="nil"/>
              <w:bottom w:val="single" w:color="auto" w:sz="4" w:space="0"/>
              <w:right w:val="single" w:color="auto" w:sz="4" w:space="0"/>
            </w:tcBorders>
            <w:shd w:val="clear" w:color="auto" w:fill="auto"/>
            <w:noWrap/>
            <w:vAlign w:val="center"/>
          </w:tcPr>
          <w:p w14:paraId="424BF789">
            <w:pPr>
              <w:pStyle w:val="4"/>
              <w:snapToGrid w:val="0"/>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创新仪器标准化分技术委员会</w:t>
            </w:r>
          </w:p>
        </w:tc>
        <w:tc>
          <w:tcPr>
            <w:tcW w:w="5631" w:type="dxa"/>
            <w:tcBorders>
              <w:top w:val="nil"/>
              <w:left w:val="nil"/>
              <w:bottom w:val="single" w:color="auto" w:sz="4" w:space="0"/>
              <w:right w:val="single" w:color="auto" w:sz="4" w:space="0"/>
            </w:tcBorders>
            <w:shd w:val="clear" w:color="auto" w:fill="auto"/>
            <w:vAlign w:val="center"/>
          </w:tcPr>
          <w:p w14:paraId="0830E745">
            <w:pPr>
              <w:pStyle w:val="4"/>
              <w:snapToGrid w:val="0"/>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针对我国研制的大量创新仪器，制定仪器标准，包括科学试验原理、技术路线、性能指标、测量系统、设备功能、测量模型、测量软件、数据处理等相关标准。</w:t>
            </w:r>
          </w:p>
        </w:tc>
      </w:tr>
      <w:tr w14:paraId="39672F43">
        <w:tblPrEx>
          <w:tblCellMar>
            <w:top w:w="0" w:type="dxa"/>
            <w:left w:w="108" w:type="dxa"/>
            <w:bottom w:w="0" w:type="dxa"/>
            <w:right w:w="108" w:type="dxa"/>
          </w:tblCellMar>
        </w:tblPrEx>
        <w:trPr>
          <w:trHeight w:val="1406" w:hRule="atLeast"/>
        </w:trPr>
        <w:tc>
          <w:tcPr>
            <w:tcW w:w="959" w:type="dxa"/>
            <w:tcBorders>
              <w:top w:val="nil"/>
              <w:left w:val="single" w:color="auto" w:sz="4" w:space="0"/>
              <w:bottom w:val="single" w:color="auto" w:sz="4" w:space="0"/>
              <w:right w:val="single" w:color="auto" w:sz="4" w:space="0"/>
            </w:tcBorders>
            <w:shd w:val="clear" w:color="auto" w:fill="auto"/>
            <w:noWrap/>
            <w:vAlign w:val="center"/>
          </w:tcPr>
          <w:p w14:paraId="7F0BEA18">
            <w:pPr>
              <w:pStyle w:val="4"/>
              <w:snapToGrid w:val="0"/>
              <w:rPr>
                <w:rFonts w:hint="eastAsia"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TC03</w:t>
            </w:r>
          </w:p>
          <w:p w14:paraId="5EBF4C1B">
            <w:pPr>
              <w:pStyle w:val="4"/>
              <w:snapToGrid w:val="0"/>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/SC02</w:t>
            </w:r>
          </w:p>
        </w:tc>
        <w:tc>
          <w:tcPr>
            <w:tcW w:w="2452" w:type="dxa"/>
            <w:tcBorders>
              <w:top w:val="nil"/>
              <w:left w:val="nil"/>
              <w:bottom w:val="single" w:color="auto" w:sz="4" w:space="0"/>
              <w:right w:val="single" w:color="auto" w:sz="4" w:space="0"/>
            </w:tcBorders>
            <w:shd w:val="clear" w:color="auto" w:fill="auto"/>
            <w:noWrap/>
            <w:vAlign w:val="center"/>
          </w:tcPr>
          <w:p w14:paraId="15D9DD77">
            <w:pPr>
              <w:pStyle w:val="4"/>
              <w:snapToGrid w:val="0"/>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仪器试验结果溯源标准化分技术委员会</w:t>
            </w:r>
          </w:p>
        </w:tc>
        <w:tc>
          <w:tcPr>
            <w:tcW w:w="5631" w:type="dxa"/>
            <w:tcBorders>
              <w:top w:val="nil"/>
              <w:left w:val="nil"/>
              <w:bottom w:val="single" w:color="auto" w:sz="4" w:space="0"/>
              <w:right w:val="single" w:color="auto" w:sz="4" w:space="0"/>
            </w:tcBorders>
            <w:shd w:val="clear" w:color="auto" w:fill="auto"/>
            <w:vAlign w:val="center"/>
          </w:tcPr>
          <w:p w14:paraId="4D903306">
            <w:pPr>
              <w:pStyle w:val="4"/>
              <w:snapToGrid w:val="0"/>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为一些无法溯源至SI单位或有证参考标准，也没有计量校准方法的仪器，包括广泛使用的商品仪器和新研制的创新仪器，提供溯源途径和方法，确保仪器及其试验结果的溯源性。</w:t>
            </w:r>
          </w:p>
        </w:tc>
      </w:tr>
      <w:tr w14:paraId="5C52093D">
        <w:tblPrEx>
          <w:tblCellMar>
            <w:top w:w="0" w:type="dxa"/>
            <w:left w:w="108" w:type="dxa"/>
            <w:bottom w:w="0" w:type="dxa"/>
            <w:right w:w="108" w:type="dxa"/>
          </w:tblCellMar>
        </w:tblPrEx>
        <w:trPr>
          <w:trHeight w:val="983" w:hRule="atLeast"/>
        </w:trPr>
        <w:tc>
          <w:tcPr>
            <w:tcW w:w="959" w:type="dxa"/>
            <w:tcBorders>
              <w:top w:val="nil"/>
              <w:left w:val="single" w:color="auto" w:sz="4" w:space="0"/>
              <w:bottom w:val="single" w:color="auto" w:sz="4" w:space="0"/>
              <w:right w:val="single" w:color="auto" w:sz="4" w:space="0"/>
            </w:tcBorders>
            <w:shd w:val="clear" w:color="auto" w:fill="auto"/>
            <w:noWrap/>
            <w:vAlign w:val="center"/>
          </w:tcPr>
          <w:p w14:paraId="73DF9212">
            <w:pPr>
              <w:pStyle w:val="4"/>
              <w:snapToGrid w:val="0"/>
              <w:rPr>
                <w:rFonts w:hint="eastAsia"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TC03</w:t>
            </w:r>
          </w:p>
          <w:p w14:paraId="7D4209AA">
            <w:pPr>
              <w:pStyle w:val="4"/>
              <w:snapToGrid w:val="0"/>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/SC03</w:t>
            </w:r>
          </w:p>
        </w:tc>
        <w:tc>
          <w:tcPr>
            <w:tcW w:w="2452" w:type="dxa"/>
            <w:tcBorders>
              <w:top w:val="nil"/>
              <w:left w:val="nil"/>
              <w:bottom w:val="single" w:color="auto" w:sz="4" w:space="0"/>
              <w:right w:val="single" w:color="auto" w:sz="4" w:space="0"/>
            </w:tcBorders>
            <w:shd w:val="clear" w:color="auto" w:fill="auto"/>
            <w:noWrap/>
            <w:vAlign w:val="center"/>
          </w:tcPr>
          <w:p w14:paraId="7ACD73FA">
            <w:pPr>
              <w:pStyle w:val="4"/>
              <w:snapToGrid w:val="0"/>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现场检测设备与技术标准化分技术委员会</w:t>
            </w:r>
          </w:p>
        </w:tc>
        <w:tc>
          <w:tcPr>
            <w:tcW w:w="5631" w:type="dxa"/>
            <w:tcBorders>
              <w:top w:val="nil"/>
              <w:left w:val="nil"/>
              <w:bottom w:val="single" w:color="auto" w:sz="4" w:space="0"/>
              <w:right w:val="single" w:color="auto" w:sz="4" w:space="0"/>
            </w:tcBorders>
            <w:shd w:val="clear" w:color="auto" w:fill="auto"/>
            <w:vAlign w:val="center"/>
          </w:tcPr>
          <w:p w14:paraId="1403D19D">
            <w:pPr>
              <w:pStyle w:val="4"/>
              <w:snapToGrid w:val="0"/>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针对资源、环境、农林业、科考等领域大量使用的现场检测设备和技术，制定规范流程、检测方法和评估方案。</w:t>
            </w:r>
          </w:p>
        </w:tc>
      </w:tr>
      <w:tr w14:paraId="5DE260B7">
        <w:tblPrEx>
          <w:tblCellMar>
            <w:top w:w="0" w:type="dxa"/>
            <w:left w:w="108" w:type="dxa"/>
            <w:bottom w:w="0" w:type="dxa"/>
            <w:right w:w="108" w:type="dxa"/>
          </w:tblCellMar>
        </w:tblPrEx>
        <w:trPr>
          <w:trHeight w:val="1995" w:hRule="atLeast"/>
        </w:trPr>
        <w:tc>
          <w:tcPr>
            <w:tcW w:w="959" w:type="dxa"/>
            <w:tcBorders>
              <w:top w:val="nil"/>
              <w:left w:val="single" w:color="auto" w:sz="4" w:space="0"/>
              <w:bottom w:val="single" w:color="auto" w:sz="4" w:space="0"/>
              <w:right w:val="single" w:color="auto" w:sz="4" w:space="0"/>
            </w:tcBorders>
            <w:shd w:val="clear" w:color="auto" w:fill="auto"/>
            <w:noWrap/>
            <w:vAlign w:val="center"/>
          </w:tcPr>
          <w:p w14:paraId="6B357CF9">
            <w:pPr>
              <w:pStyle w:val="4"/>
              <w:snapToGrid w:val="0"/>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TC04</w:t>
            </w:r>
          </w:p>
        </w:tc>
        <w:tc>
          <w:tcPr>
            <w:tcW w:w="2452" w:type="dxa"/>
            <w:tcBorders>
              <w:top w:val="nil"/>
              <w:left w:val="nil"/>
              <w:bottom w:val="single" w:color="auto" w:sz="4" w:space="0"/>
              <w:right w:val="single" w:color="auto" w:sz="4" w:space="0"/>
            </w:tcBorders>
            <w:shd w:val="clear" w:color="auto" w:fill="auto"/>
            <w:noWrap/>
            <w:vAlign w:val="center"/>
          </w:tcPr>
          <w:p w14:paraId="045D733A">
            <w:pPr>
              <w:pStyle w:val="4"/>
              <w:snapToGrid w:val="0"/>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科学试验评价标准化技术委员会</w:t>
            </w:r>
          </w:p>
        </w:tc>
        <w:tc>
          <w:tcPr>
            <w:tcW w:w="5631" w:type="dxa"/>
            <w:tcBorders>
              <w:top w:val="nil"/>
              <w:left w:val="nil"/>
              <w:bottom w:val="single" w:color="auto" w:sz="4" w:space="0"/>
              <w:right w:val="single" w:color="auto" w:sz="4" w:space="0"/>
            </w:tcBorders>
            <w:shd w:val="clear" w:color="auto" w:fill="auto"/>
            <w:vAlign w:val="center"/>
          </w:tcPr>
          <w:p w14:paraId="365D1E04">
            <w:pPr>
              <w:pStyle w:val="4"/>
              <w:snapToGrid w:val="0"/>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负责科学试验领域各专业创新试验方法的符合性评价、试验人员技术能力评价、科学试验装置的</w:t>
            </w:r>
            <w:r>
              <w:rPr>
                <w:rFonts w:hint="eastAsia" w:cs="宋体" w:asciiTheme="minorEastAsia" w:hAnsiTheme="minorEastAsia" w:eastAsiaTheme="minorEastAsia"/>
                <w:b/>
                <w:sz w:val="28"/>
                <w:szCs w:val="28"/>
                <w:lang w:eastAsia="zh-CN"/>
              </w:rPr>
              <w:t>使役性能</w:t>
            </w:r>
            <w:r>
              <w:rPr>
                <w:rFonts w:hint="eastAsia" w:cs="宋体" w:asciiTheme="minorEastAsia" w:hAnsiTheme="minorEastAsia" w:eastAsiaTheme="minorEastAsia"/>
                <w:b/>
                <w:sz w:val="28"/>
                <w:szCs w:val="28"/>
              </w:rPr>
              <w:t>评价以及各专业科学试验能力验证实施规范等相关标准的制修订，负责科学试验相关实物标准（标准图谱、</w:t>
            </w:r>
            <w:bookmarkStart w:id="1" w:name="_GoBack"/>
            <w:bookmarkEnd w:id="1"/>
            <w:r>
              <w:rPr>
                <w:rFonts w:hint="eastAsia" w:cs="宋体" w:asciiTheme="minorEastAsia" w:hAnsiTheme="minorEastAsia" w:eastAsiaTheme="minorEastAsia"/>
                <w:b/>
                <w:sz w:val="28"/>
                <w:szCs w:val="28"/>
                <w:lang w:eastAsia="zh-CN"/>
              </w:rPr>
              <w:t>标准样品</w:t>
            </w:r>
            <w:r>
              <w:rPr>
                <w:rFonts w:hint="eastAsia" w:cs="宋体" w:asciiTheme="minorEastAsia" w:hAnsiTheme="minorEastAsia" w:eastAsiaTheme="minorEastAsia"/>
                <w:b/>
                <w:sz w:val="28"/>
                <w:szCs w:val="28"/>
              </w:rPr>
              <w:t>）研制规范相关标准的制修订。</w:t>
            </w:r>
          </w:p>
        </w:tc>
      </w:tr>
      <w:tr w14:paraId="212E468D">
        <w:tblPrEx>
          <w:tblCellMar>
            <w:top w:w="0" w:type="dxa"/>
            <w:left w:w="108" w:type="dxa"/>
            <w:bottom w:w="0" w:type="dxa"/>
            <w:right w:w="108" w:type="dxa"/>
          </w:tblCellMar>
        </w:tblPrEx>
        <w:trPr>
          <w:trHeight w:val="1623" w:hRule="atLeast"/>
        </w:trPr>
        <w:tc>
          <w:tcPr>
            <w:tcW w:w="9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C2612E">
            <w:pPr>
              <w:pStyle w:val="4"/>
              <w:snapToGrid w:val="0"/>
              <w:rPr>
                <w:rFonts w:cs="宋体" w:asciiTheme="minorEastAsia" w:hAnsiTheme="minorEastAsia" w:eastAsiaTheme="minorEastAsia"/>
                <w:b/>
                <w:sz w:val="28"/>
                <w:szCs w:val="28"/>
              </w:rPr>
            </w:pPr>
            <w:bookmarkStart w:id="0" w:name="RANGE!A7"/>
            <w:r>
              <w:rPr>
                <w:rFonts w:hint="eastAsia" w:cs="宋体" w:asciiTheme="minorEastAsia" w:hAnsiTheme="minorEastAsia" w:eastAsiaTheme="minorEastAsia"/>
                <w:b/>
                <w:sz w:val="28"/>
                <w:szCs w:val="28"/>
              </w:rPr>
              <w:t>TC05</w:t>
            </w:r>
          </w:p>
        </w:tc>
        <w:tc>
          <w:tcPr>
            <w:tcW w:w="2452" w:type="dxa"/>
            <w:tcBorders>
              <w:top w:val="single" w:color="auto" w:sz="4" w:space="0"/>
              <w:left w:val="nil"/>
              <w:bottom w:val="single" w:color="auto" w:sz="4" w:space="0"/>
              <w:right w:val="single" w:color="auto" w:sz="4" w:space="0"/>
            </w:tcBorders>
            <w:shd w:val="clear" w:color="auto" w:fill="auto"/>
            <w:noWrap/>
            <w:vAlign w:val="center"/>
          </w:tcPr>
          <w:p w14:paraId="0179B7EE">
            <w:pPr>
              <w:pStyle w:val="4"/>
              <w:snapToGrid w:val="0"/>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感知分析标准化技术委员会</w:t>
            </w:r>
          </w:p>
        </w:tc>
        <w:tc>
          <w:tcPr>
            <w:tcW w:w="5631" w:type="dxa"/>
            <w:tcBorders>
              <w:top w:val="single" w:color="auto" w:sz="4" w:space="0"/>
              <w:left w:val="nil"/>
              <w:bottom w:val="single" w:color="auto" w:sz="4" w:space="0"/>
              <w:right w:val="single" w:color="auto" w:sz="4" w:space="0"/>
            </w:tcBorders>
            <w:shd w:val="clear" w:color="auto" w:fill="auto"/>
            <w:vAlign w:val="center"/>
          </w:tcPr>
          <w:p w14:paraId="3389E80D">
            <w:pPr>
              <w:pStyle w:val="4"/>
              <w:snapToGrid w:val="0"/>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负责感知领域的试验方法、试验装置、测量系统、标准物质、试验人员技术能力评价、消费者行为、消费者偏爱测试等感知分析相关标准的制修订。</w:t>
            </w:r>
          </w:p>
        </w:tc>
      </w:tr>
      <w:tr w14:paraId="246541DE">
        <w:tblPrEx>
          <w:tblCellMar>
            <w:top w:w="0" w:type="dxa"/>
            <w:left w:w="108" w:type="dxa"/>
            <w:bottom w:w="0" w:type="dxa"/>
            <w:right w:w="108" w:type="dxa"/>
          </w:tblCellMar>
        </w:tblPrEx>
        <w:trPr>
          <w:trHeight w:val="1623" w:hRule="atLeast"/>
        </w:trPr>
        <w:tc>
          <w:tcPr>
            <w:tcW w:w="9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A2781A">
            <w:pPr>
              <w:pStyle w:val="4"/>
              <w:snapToGrid w:val="0"/>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TC06</w:t>
            </w:r>
          </w:p>
        </w:tc>
        <w:tc>
          <w:tcPr>
            <w:tcW w:w="2452" w:type="dxa"/>
            <w:tcBorders>
              <w:top w:val="single" w:color="auto" w:sz="4" w:space="0"/>
              <w:left w:val="nil"/>
              <w:bottom w:val="single" w:color="auto" w:sz="4" w:space="0"/>
              <w:right w:val="single" w:color="auto" w:sz="4" w:space="0"/>
            </w:tcBorders>
            <w:shd w:val="clear" w:color="auto" w:fill="auto"/>
            <w:noWrap/>
            <w:vAlign w:val="center"/>
          </w:tcPr>
          <w:p w14:paraId="455A90F7">
            <w:pPr>
              <w:pStyle w:val="4"/>
              <w:snapToGrid w:val="0"/>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残余应力</w:t>
            </w:r>
            <w:r>
              <w:rPr>
                <w:rFonts w:hint="eastAsia" w:cs="宋体" w:asciiTheme="minorEastAsia" w:hAnsiTheme="minorEastAsia" w:eastAsiaTheme="minorEastAsia"/>
                <w:b/>
                <w:sz w:val="28"/>
                <w:szCs w:val="28"/>
                <w:lang w:val="en-US" w:eastAsia="zh-CN"/>
              </w:rPr>
              <w:t>分析</w:t>
            </w:r>
            <w:r>
              <w:rPr>
                <w:rFonts w:hint="eastAsia" w:cs="宋体" w:asciiTheme="minorEastAsia" w:hAnsiTheme="minorEastAsia" w:eastAsiaTheme="minorEastAsia"/>
                <w:b/>
                <w:sz w:val="28"/>
                <w:szCs w:val="28"/>
              </w:rPr>
              <w:t>及调控标准化技术委员会</w:t>
            </w:r>
          </w:p>
        </w:tc>
        <w:tc>
          <w:tcPr>
            <w:tcW w:w="5631" w:type="dxa"/>
            <w:tcBorders>
              <w:top w:val="single" w:color="auto" w:sz="4" w:space="0"/>
              <w:left w:val="nil"/>
              <w:bottom w:val="single" w:color="auto" w:sz="4" w:space="0"/>
              <w:right w:val="single" w:color="auto" w:sz="4" w:space="0"/>
            </w:tcBorders>
            <w:shd w:val="clear" w:color="auto" w:fill="auto"/>
            <w:vAlign w:val="center"/>
          </w:tcPr>
          <w:p w14:paraId="3A832320">
            <w:pPr>
              <w:pStyle w:val="4"/>
              <w:snapToGrid w:val="0"/>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负责残余应力分析及调控的原理、装备试验技术和标准制修订，包括创新的试验理论、试验装置、试验流程、技术参量等与应用相结合所形成的科学试验技术及评价方法，以及残余应力分析及调控的可靠性与稳定性及其表征方法。</w:t>
            </w:r>
          </w:p>
        </w:tc>
      </w:tr>
      <w:tr w14:paraId="66CE494A">
        <w:tblPrEx>
          <w:tblCellMar>
            <w:top w:w="0" w:type="dxa"/>
            <w:left w:w="108" w:type="dxa"/>
            <w:bottom w:w="0" w:type="dxa"/>
            <w:right w:w="108" w:type="dxa"/>
          </w:tblCellMar>
        </w:tblPrEx>
        <w:trPr>
          <w:trHeight w:val="1623" w:hRule="atLeast"/>
        </w:trPr>
        <w:tc>
          <w:tcPr>
            <w:tcW w:w="9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8F4CC7">
            <w:pPr>
              <w:pStyle w:val="4"/>
              <w:snapToGrid w:val="0"/>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TC07</w:t>
            </w:r>
          </w:p>
        </w:tc>
        <w:tc>
          <w:tcPr>
            <w:tcW w:w="2452" w:type="dxa"/>
            <w:tcBorders>
              <w:top w:val="single" w:color="auto" w:sz="4" w:space="0"/>
              <w:left w:val="nil"/>
              <w:bottom w:val="single" w:color="auto" w:sz="4" w:space="0"/>
              <w:right w:val="single" w:color="auto" w:sz="4" w:space="0"/>
            </w:tcBorders>
            <w:shd w:val="clear" w:color="auto" w:fill="auto"/>
            <w:noWrap/>
            <w:vAlign w:val="center"/>
          </w:tcPr>
          <w:p w14:paraId="3B6E6F86">
            <w:pPr>
              <w:pStyle w:val="4"/>
              <w:snapToGrid w:val="0"/>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工业现场试验表征标准化技术委员会</w:t>
            </w:r>
          </w:p>
        </w:tc>
        <w:tc>
          <w:tcPr>
            <w:tcW w:w="5631" w:type="dxa"/>
            <w:tcBorders>
              <w:top w:val="single" w:color="auto" w:sz="4" w:space="0"/>
              <w:left w:val="nil"/>
              <w:bottom w:val="single" w:color="auto" w:sz="4" w:space="0"/>
              <w:right w:val="single" w:color="auto" w:sz="4" w:space="0"/>
            </w:tcBorders>
            <w:shd w:val="clear" w:color="auto" w:fill="auto"/>
            <w:vAlign w:val="center"/>
          </w:tcPr>
          <w:p w14:paraId="40B45B1E">
            <w:pPr>
              <w:pStyle w:val="4"/>
              <w:snapToGrid w:val="0"/>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负责关键技术领域工业现场自动化、智能化研究相关创新试验技术和方法，包括创新的试验理论、试验装置、试验流程、试验表征、技术参量等与应用相结合所形成的科学试验方法，以及工业现场试验技术可靠性与稳定性及其表征方法。</w:t>
            </w:r>
          </w:p>
        </w:tc>
      </w:tr>
      <w:tr w14:paraId="0570AE39">
        <w:tblPrEx>
          <w:tblCellMar>
            <w:top w:w="0" w:type="dxa"/>
            <w:left w:w="108" w:type="dxa"/>
            <w:bottom w:w="0" w:type="dxa"/>
            <w:right w:w="108" w:type="dxa"/>
          </w:tblCellMar>
        </w:tblPrEx>
        <w:trPr>
          <w:trHeight w:val="1623" w:hRule="atLeast"/>
        </w:trPr>
        <w:tc>
          <w:tcPr>
            <w:tcW w:w="9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43187A">
            <w:pPr>
              <w:pStyle w:val="4"/>
              <w:snapToGrid w:val="0"/>
              <w:rPr>
                <w:rFonts w:hint="eastAsia" w:cs="宋体" w:asciiTheme="minorEastAsia" w:hAnsiTheme="minorEastAsia" w:eastAsiaTheme="minorEastAsia"/>
                <w:b/>
                <w:sz w:val="28"/>
                <w:szCs w:val="28"/>
                <w:lang w:val="en-US" w:eastAsia="zh-CN"/>
              </w:rPr>
            </w:pPr>
            <w:r>
              <w:rPr>
                <w:rFonts w:hint="eastAsia" w:cs="宋体" w:asciiTheme="minorEastAsia" w:hAnsiTheme="minorEastAsia" w:eastAsiaTheme="minorEastAsia"/>
                <w:b/>
                <w:sz w:val="28"/>
                <w:szCs w:val="28"/>
              </w:rPr>
              <w:t>TC0</w:t>
            </w:r>
            <w:r>
              <w:rPr>
                <w:rFonts w:hint="eastAsia" w:cs="宋体" w:asciiTheme="minorEastAsia" w:hAnsiTheme="minorEastAsia" w:eastAsiaTheme="minorEastAsia"/>
                <w:b/>
                <w:sz w:val="28"/>
                <w:szCs w:val="28"/>
                <w:lang w:val="en-US" w:eastAsia="zh-CN"/>
              </w:rPr>
              <w:t>8</w:t>
            </w:r>
          </w:p>
        </w:tc>
        <w:tc>
          <w:tcPr>
            <w:tcW w:w="2452" w:type="dxa"/>
            <w:tcBorders>
              <w:top w:val="single" w:color="auto" w:sz="4" w:space="0"/>
              <w:left w:val="nil"/>
              <w:bottom w:val="single" w:color="auto" w:sz="4" w:space="0"/>
              <w:right w:val="single" w:color="auto" w:sz="4" w:space="0"/>
            </w:tcBorders>
            <w:shd w:val="clear" w:color="auto" w:fill="auto"/>
            <w:noWrap/>
            <w:vAlign w:val="center"/>
          </w:tcPr>
          <w:p w14:paraId="080C46C8">
            <w:pPr>
              <w:pStyle w:val="4"/>
              <w:snapToGrid w:val="0"/>
              <w:rPr>
                <w:rFonts w:hint="eastAsia" w:cs="宋体" w:asciiTheme="minorEastAsia" w:hAnsiTheme="minorEastAsia" w:eastAsiaTheme="minorEastAsia"/>
                <w:b/>
                <w:sz w:val="28"/>
                <w:szCs w:val="28"/>
              </w:rPr>
            </w:pPr>
            <w:r>
              <w:rPr>
                <w:rFonts w:hint="eastAsia" w:cs="宋体" w:asciiTheme="minorEastAsia" w:hAnsiTheme="minorEastAsia" w:eastAsiaTheme="minorEastAsia"/>
                <w:b/>
                <w:sz w:val="28"/>
                <w:szCs w:val="28"/>
              </w:rPr>
              <w:t>固态电池研发过程与评价标准化技术委员会</w:t>
            </w:r>
          </w:p>
        </w:tc>
        <w:tc>
          <w:tcPr>
            <w:tcW w:w="5631" w:type="dxa"/>
            <w:tcBorders>
              <w:top w:val="single" w:color="auto" w:sz="4" w:space="0"/>
              <w:left w:val="nil"/>
              <w:bottom w:val="single" w:color="auto" w:sz="4" w:space="0"/>
              <w:right w:val="single" w:color="auto" w:sz="4" w:space="0"/>
            </w:tcBorders>
            <w:shd w:val="clear" w:color="auto" w:fill="auto"/>
            <w:vAlign w:val="center"/>
          </w:tcPr>
          <w:p w14:paraId="1AC5B6BC">
            <w:pPr>
              <w:pStyle w:val="4"/>
              <w:numPr>
                <w:ilvl w:val="0"/>
                <w:numId w:val="0"/>
              </w:numPr>
              <w:snapToGrid w:val="0"/>
              <w:rPr>
                <w:rFonts w:hint="eastAsia" w:cs="宋体" w:asciiTheme="minorEastAsia" w:hAnsiTheme="minorEastAsia" w:eastAsiaTheme="minorEastAsia"/>
                <w:b/>
                <w:sz w:val="28"/>
                <w:szCs w:val="28"/>
                <w:lang w:eastAsia="zh-CN"/>
              </w:rPr>
            </w:pPr>
            <w:r>
              <w:rPr>
                <w:rFonts w:hint="eastAsia" w:cs="宋体" w:asciiTheme="minorEastAsia" w:hAnsiTheme="minorEastAsia" w:eastAsiaTheme="minorEastAsia"/>
                <w:b/>
                <w:sz w:val="28"/>
                <w:szCs w:val="28"/>
              </w:rPr>
              <w:t>组织开展固态电池的技术创新路线探究</w:t>
            </w:r>
            <w:r>
              <w:rPr>
                <w:rFonts w:hint="eastAsia" w:cs="宋体" w:asciiTheme="minorEastAsia" w:hAnsiTheme="minorEastAsia" w:eastAsiaTheme="minorEastAsia"/>
                <w:b/>
                <w:sz w:val="28"/>
                <w:szCs w:val="28"/>
                <w:lang w:eastAsia="zh-CN"/>
              </w:rPr>
              <w:t>、固态电池领域科研数据标准化的探索、固态电池领域的标准研究与制订、促进固态电池领域相关院校及企业开展前沿技术交流与合作、推动固态电池产业化的方向探索。</w:t>
            </w:r>
          </w:p>
        </w:tc>
      </w:tr>
      <w:tr w14:paraId="2989605C">
        <w:tblPrEx>
          <w:tblCellMar>
            <w:top w:w="0" w:type="dxa"/>
            <w:left w:w="108" w:type="dxa"/>
            <w:bottom w:w="0" w:type="dxa"/>
            <w:right w:w="108" w:type="dxa"/>
          </w:tblCellMar>
        </w:tblPrEx>
        <w:trPr>
          <w:trHeight w:val="1623" w:hRule="atLeast"/>
        </w:trPr>
        <w:tc>
          <w:tcPr>
            <w:tcW w:w="9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36504F">
            <w:pPr>
              <w:pStyle w:val="4"/>
              <w:snapToGrid w:val="0"/>
              <w:rPr>
                <w:rFonts w:hint="eastAsia" w:cs="宋体" w:asciiTheme="minorEastAsia" w:hAnsiTheme="minorEastAsia" w:eastAsiaTheme="minorEastAsia"/>
                <w:b/>
                <w:sz w:val="28"/>
                <w:szCs w:val="28"/>
                <w:lang w:val="en-US" w:eastAsia="zh-CN"/>
              </w:rPr>
            </w:pPr>
            <w:r>
              <w:rPr>
                <w:rFonts w:hint="eastAsia" w:cs="宋体" w:asciiTheme="minorEastAsia" w:hAnsiTheme="minorEastAsia" w:eastAsiaTheme="minorEastAsia"/>
                <w:b/>
                <w:sz w:val="28"/>
                <w:szCs w:val="28"/>
              </w:rPr>
              <w:t>TC0</w:t>
            </w:r>
            <w:r>
              <w:rPr>
                <w:rFonts w:hint="eastAsia" w:cs="宋体" w:asciiTheme="minorEastAsia" w:hAnsiTheme="minorEastAsia" w:eastAsiaTheme="minorEastAsia"/>
                <w:b/>
                <w:sz w:val="28"/>
                <w:szCs w:val="28"/>
                <w:lang w:val="en-US" w:eastAsia="zh-CN"/>
              </w:rPr>
              <w:t>9</w:t>
            </w:r>
          </w:p>
        </w:tc>
        <w:tc>
          <w:tcPr>
            <w:tcW w:w="2452" w:type="dxa"/>
            <w:tcBorders>
              <w:top w:val="single" w:color="auto" w:sz="4" w:space="0"/>
              <w:left w:val="nil"/>
              <w:bottom w:val="single" w:color="auto" w:sz="4" w:space="0"/>
              <w:right w:val="single" w:color="auto" w:sz="4" w:space="0"/>
            </w:tcBorders>
            <w:shd w:val="clear" w:color="auto" w:fill="auto"/>
            <w:noWrap/>
            <w:vAlign w:val="center"/>
          </w:tcPr>
          <w:p w14:paraId="3352F5F0">
            <w:pPr>
              <w:pStyle w:val="4"/>
              <w:snapToGrid w:val="0"/>
              <w:rPr>
                <w:rFonts w:hint="eastAsia" w:cs="宋体" w:asciiTheme="minorEastAsia" w:hAnsiTheme="minorEastAsia" w:eastAsiaTheme="minorEastAsia"/>
                <w:b/>
                <w:sz w:val="28"/>
                <w:szCs w:val="28"/>
              </w:rPr>
            </w:pPr>
            <w:r>
              <w:rPr>
                <w:rFonts w:hint="eastAsia" w:cs="宋体" w:asciiTheme="minorEastAsia" w:hAnsiTheme="minorEastAsia" w:eastAsiaTheme="minorEastAsia"/>
                <w:b/>
                <w:sz w:val="28"/>
                <w:szCs w:val="28"/>
              </w:rPr>
              <w:t>卫星有效载荷标准化技术委员会</w:t>
            </w:r>
          </w:p>
        </w:tc>
        <w:tc>
          <w:tcPr>
            <w:tcW w:w="5631" w:type="dxa"/>
            <w:tcBorders>
              <w:top w:val="single" w:color="auto" w:sz="4" w:space="0"/>
              <w:left w:val="nil"/>
              <w:bottom w:val="single" w:color="auto" w:sz="4" w:space="0"/>
              <w:right w:val="single" w:color="auto" w:sz="4" w:space="0"/>
            </w:tcBorders>
            <w:shd w:val="clear" w:color="auto" w:fill="auto"/>
            <w:vAlign w:val="center"/>
          </w:tcPr>
          <w:p w14:paraId="1B15DEA5">
            <w:pPr>
              <w:pStyle w:val="4"/>
              <w:snapToGrid w:val="0"/>
              <w:rPr>
                <w:rFonts w:hint="eastAsia" w:cs="宋体" w:asciiTheme="minorEastAsia" w:hAnsiTheme="minorEastAsia" w:eastAsiaTheme="minorEastAsia"/>
                <w:b/>
                <w:sz w:val="28"/>
                <w:szCs w:val="28"/>
                <w:lang w:val="en-US" w:eastAsia="zh-CN"/>
              </w:rPr>
            </w:pPr>
            <w:r>
              <w:rPr>
                <w:rFonts w:hint="eastAsia" w:cs="宋体" w:asciiTheme="minorEastAsia" w:hAnsiTheme="minorEastAsia" w:eastAsiaTheme="minorEastAsia"/>
                <w:b/>
                <w:sz w:val="28"/>
                <w:szCs w:val="28"/>
              </w:rPr>
              <w:t>组织开展有效载荷产品设计与应用标准化探索</w:t>
            </w:r>
            <w:r>
              <w:rPr>
                <w:rFonts w:hint="eastAsia" w:cs="宋体" w:asciiTheme="minorEastAsia" w:hAnsiTheme="minorEastAsia" w:eastAsiaTheme="minorEastAsia"/>
                <w:b/>
                <w:sz w:val="28"/>
                <w:szCs w:val="28"/>
                <w:lang w:eastAsia="zh-CN"/>
              </w:rPr>
              <w:t>、有效载荷性能指标检验检测标准化技术探索、有效载荷质量评价标准化探索、有效载荷产品先进技术前沿技术交流与合作。</w:t>
            </w:r>
          </w:p>
        </w:tc>
      </w:tr>
      <w:tr w14:paraId="27D0FFC9">
        <w:tblPrEx>
          <w:tblCellMar>
            <w:top w:w="0" w:type="dxa"/>
            <w:left w:w="108" w:type="dxa"/>
            <w:bottom w:w="0" w:type="dxa"/>
            <w:right w:w="108" w:type="dxa"/>
          </w:tblCellMar>
        </w:tblPrEx>
        <w:trPr>
          <w:trHeight w:val="1623" w:hRule="atLeast"/>
        </w:trPr>
        <w:tc>
          <w:tcPr>
            <w:tcW w:w="9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37875F">
            <w:pPr>
              <w:pStyle w:val="4"/>
              <w:snapToGrid w:val="0"/>
              <w:rPr>
                <w:rFonts w:hint="default" w:cs="宋体" w:asciiTheme="minorEastAsia" w:hAnsiTheme="minorEastAsia" w:eastAsiaTheme="minorEastAsia"/>
                <w:b/>
                <w:sz w:val="28"/>
                <w:szCs w:val="28"/>
                <w:lang w:val="en-US" w:eastAsia="zh-CN"/>
              </w:rPr>
            </w:pPr>
            <w:r>
              <w:rPr>
                <w:rFonts w:hint="eastAsia" w:cs="宋体" w:asciiTheme="minorEastAsia" w:hAnsiTheme="minorEastAsia" w:eastAsiaTheme="minorEastAsia"/>
                <w:b/>
                <w:sz w:val="28"/>
                <w:szCs w:val="28"/>
              </w:rPr>
              <w:t>TC</w:t>
            </w:r>
            <w:r>
              <w:rPr>
                <w:rFonts w:hint="eastAsia" w:cs="宋体" w:asciiTheme="minorEastAsia" w:hAnsiTheme="minorEastAsia" w:eastAsiaTheme="minorEastAsia"/>
                <w:b/>
                <w:sz w:val="28"/>
                <w:szCs w:val="28"/>
                <w:lang w:val="en-US" w:eastAsia="zh-CN"/>
              </w:rPr>
              <w:t>10</w:t>
            </w:r>
          </w:p>
        </w:tc>
        <w:tc>
          <w:tcPr>
            <w:tcW w:w="2452" w:type="dxa"/>
            <w:tcBorders>
              <w:top w:val="single" w:color="auto" w:sz="4" w:space="0"/>
              <w:left w:val="nil"/>
              <w:bottom w:val="single" w:color="auto" w:sz="4" w:space="0"/>
              <w:right w:val="single" w:color="auto" w:sz="4" w:space="0"/>
            </w:tcBorders>
            <w:shd w:val="clear" w:color="auto" w:fill="auto"/>
            <w:noWrap/>
            <w:vAlign w:val="center"/>
          </w:tcPr>
          <w:p w14:paraId="3471CA3F">
            <w:pPr>
              <w:pStyle w:val="4"/>
              <w:snapToGrid w:val="0"/>
              <w:rPr>
                <w:rFonts w:hint="eastAsia" w:cs="宋体" w:asciiTheme="minorEastAsia" w:hAnsiTheme="minorEastAsia" w:eastAsiaTheme="minorEastAsia"/>
                <w:b/>
                <w:sz w:val="28"/>
                <w:szCs w:val="28"/>
              </w:rPr>
            </w:pPr>
            <w:r>
              <w:rPr>
                <w:rFonts w:hint="eastAsia" w:cs="宋体" w:asciiTheme="minorEastAsia" w:hAnsiTheme="minorEastAsia" w:eastAsiaTheme="minorEastAsia"/>
                <w:b/>
                <w:sz w:val="28"/>
                <w:szCs w:val="28"/>
              </w:rPr>
              <w:t>氢能材料试验标准化技术委员会</w:t>
            </w:r>
          </w:p>
        </w:tc>
        <w:tc>
          <w:tcPr>
            <w:tcW w:w="5631" w:type="dxa"/>
            <w:tcBorders>
              <w:top w:val="single" w:color="auto" w:sz="4" w:space="0"/>
              <w:left w:val="nil"/>
              <w:bottom w:val="single" w:color="auto" w:sz="4" w:space="0"/>
              <w:right w:val="single" w:color="auto" w:sz="4" w:space="0"/>
            </w:tcBorders>
            <w:shd w:val="clear" w:color="auto" w:fill="auto"/>
            <w:vAlign w:val="center"/>
          </w:tcPr>
          <w:p w14:paraId="3158F3A1">
            <w:pPr>
              <w:pStyle w:val="4"/>
              <w:snapToGrid w:val="0"/>
              <w:rPr>
                <w:rFonts w:hint="eastAsia" w:cs="宋体" w:asciiTheme="minorEastAsia" w:hAnsiTheme="minorEastAsia" w:eastAsiaTheme="minorEastAsia"/>
                <w:b/>
                <w:sz w:val="28"/>
                <w:szCs w:val="28"/>
              </w:rPr>
            </w:pPr>
            <w:r>
              <w:rPr>
                <w:rFonts w:hint="eastAsia" w:cs="宋体" w:asciiTheme="minorEastAsia" w:hAnsiTheme="minorEastAsia" w:eastAsiaTheme="minorEastAsia"/>
                <w:b/>
                <w:sz w:val="28"/>
                <w:szCs w:val="28"/>
              </w:rPr>
              <w:t>制定和修订氢能制储输用中关键材料的功能性、可靠性、氢相容性等检测的标准、规范和指南，确保材料在极端服役条件（高压力、极低温、超高温）中的安全、可靠；研究材料与氢相容性评价、临氢材料性能长周期演化评价等的方法和技术，提高对材料在氢气环境下行为的理解和预测能力；建立材料氢相容性等数据资源库，收集材料在不同氢气环境下的性能数据，促进数据共享和合作研究；为行业提供氢能材料相关问题的解答和技术支持，协助解决实际应用中的挑战和困难；参与氢能材料相关政策和法规标准制定，推动氢能源可持续发展。</w:t>
            </w:r>
          </w:p>
        </w:tc>
      </w:tr>
      <w:tr w14:paraId="4A0C0D61">
        <w:tblPrEx>
          <w:tblCellMar>
            <w:top w:w="0" w:type="dxa"/>
            <w:left w:w="108" w:type="dxa"/>
            <w:bottom w:w="0" w:type="dxa"/>
            <w:right w:w="108" w:type="dxa"/>
          </w:tblCellMar>
        </w:tblPrEx>
        <w:trPr>
          <w:trHeight w:val="1623" w:hRule="atLeast"/>
        </w:trPr>
        <w:tc>
          <w:tcPr>
            <w:tcW w:w="9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8443C3">
            <w:pPr>
              <w:pStyle w:val="4"/>
              <w:snapToGrid w:val="0"/>
              <w:rPr>
                <w:rFonts w:hint="default" w:cs="宋体" w:asciiTheme="minorEastAsia" w:hAnsiTheme="minorEastAsia" w:eastAsiaTheme="minorEastAsia"/>
                <w:b/>
                <w:sz w:val="28"/>
                <w:szCs w:val="28"/>
                <w:lang w:val="en-US" w:eastAsia="zh-CN"/>
              </w:rPr>
            </w:pPr>
            <w:r>
              <w:rPr>
                <w:rFonts w:hint="eastAsia" w:cs="宋体" w:asciiTheme="minorEastAsia" w:hAnsiTheme="minorEastAsia" w:eastAsiaTheme="minorEastAsia"/>
                <w:b/>
                <w:sz w:val="28"/>
                <w:szCs w:val="28"/>
              </w:rPr>
              <w:t>TC</w:t>
            </w:r>
            <w:r>
              <w:rPr>
                <w:rFonts w:hint="eastAsia" w:cs="宋体" w:asciiTheme="minorEastAsia" w:hAnsiTheme="minorEastAsia" w:eastAsiaTheme="minorEastAsia"/>
                <w:b/>
                <w:sz w:val="28"/>
                <w:szCs w:val="28"/>
                <w:lang w:val="en-US" w:eastAsia="zh-CN"/>
              </w:rPr>
              <w:t>10/SC01</w:t>
            </w:r>
          </w:p>
        </w:tc>
        <w:tc>
          <w:tcPr>
            <w:tcW w:w="2452" w:type="dxa"/>
            <w:tcBorders>
              <w:top w:val="single" w:color="auto" w:sz="4" w:space="0"/>
              <w:left w:val="nil"/>
              <w:bottom w:val="single" w:color="auto" w:sz="4" w:space="0"/>
              <w:right w:val="single" w:color="auto" w:sz="4" w:space="0"/>
            </w:tcBorders>
            <w:shd w:val="clear" w:color="auto" w:fill="auto"/>
            <w:noWrap/>
            <w:vAlign w:val="center"/>
          </w:tcPr>
          <w:p w14:paraId="5581C6F7">
            <w:pPr>
              <w:pStyle w:val="4"/>
              <w:snapToGrid w:val="0"/>
              <w:rPr>
                <w:rFonts w:hint="eastAsia" w:cs="宋体" w:asciiTheme="minorEastAsia" w:hAnsiTheme="minorEastAsia" w:eastAsiaTheme="minorEastAsia"/>
                <w:b/>
                <w:sz w:val="28"/>
                <w:szCs w:val="28"/>
              </w:rPr>
            </w:pPr>
            <w:r>
              <w:rPr>
                <w:rFonts w:hint="eastAsia" w:cs="宋体" w:asciiTheme="minorEastAsia" w:hAnsiTheme="minorEastAsia" w:eastAsiaTheme="minorEastAsia"/>
                <w:b/>
                <w:sz w:val="28"/>
                <w:szCs w:val="28"/>
              </w:rPr>
              <w:t>电解水制氢材料试验标准化分技术委员会</w:t>
            </w:r>
          </w:p>
        </w:tc>
        <w:tc>
          <w:tcPr>
            <w:tcW w:w="5631" w:type="dxa"/>
            <w:tcBorders>
              <w:top w:val="single" w:color="auto" w:sz="4" w:space="0"/>
              <w:left w:val="nil"/>
              <w:bottom w:val="single" w:color="auto" w:sz="4" w:space="0"/>
              <w:right w:val="single" w:color="auto" w:sz="4" w:space="0"/>
            </w:tcBorders>
            <w:shd w:val="clear" w:color="auto" w:fill="auto"/>
            <w:vAlign w:val="center"/>
          </w:tcPr>
          <w:p w14:paraId="4E3EFF75">
            <w:pPr>
              <w:pStyle w:val="4"/>
              <w:snapToGrid w:val="0"/>
              <w:rPr>
                <w:rFonts w:hint="eastAsia" w:cs="宋体" w:asciiTheme="minorEastAsia" w:hAnsiTheme="minorEastAsia" w:eastAsiaTheme="minorEastAsia"/>
                <w:b/>
                <w:sz w:val="28"/>
                <w:szCs w:val="28"/>
              </w:rPr>
            </w:pPr>
            <w:r>
              <w:rPr>
                <w:rFonts w:hint="eastAsia" w:cs="宋体" w:asciiTheme="minorEastAsia" w:hAnsiTheme="minorEastAsia" w:eastAsiaTheme="minorEastAsia"/>
                <w:b/>
                <w:sz w:val="28"/>
                <w:szCs w:val="28"/>
              </w:rPr>
              <w:t>聚焦影响电解水制氢系统效率的催化剂、离子交换膜等关键材料，聚焦原料水、电解液、氢气产品等材料，研制标准化电解试验装置，制定规范流程、试验方法和评估方案，促进实现电解水制氢技术标准化创新发展。</w:t>
            </w:r>
          </w:p>
        </w:tc>
      </w:tr>
      <w:tr w14:paraId="32B810DE">
        <w:tblPrEx>
          <w:tblCellMar>
            <w:top w:w="0" w:type="dxa"/>
            <w:left w:w="108" w:type="dxa"/>
            <w:bottom w:w="0" w:type="dxa"/>
            <w:right w:w="108" w:type="dxa"/>
          </w:tblCellMar>
        </w:tblPrEx>
        <w:trPr>
          <w:trHeight w:val="1707" w:hRule="atLeast"/>
        </w:trPr>
        <w:tc>
          <w:tcPr>
            <w:tcW w:w="9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24DF3C">
            <w:pPr>
              <w:pStyle w:val="4"/>
              <w:snapToGrid w:val="0"/>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TC20</w:t>
            </w:r>
            <w:bookmarkEnd w:id="0"/>
          </w:p>
        </w:tc>
        <w:tc>
          <w:tcPr>
            <w:tcW w:w="2452" w:type="dxa"/>
            <w:tcBorders>
              <w:top w:val="single" w:color="auto" w:sz="4" w:space="0"/>
              <w:left w:val="nil"/>
              <w:bottom w:val="single" w:color="auto" w:sz="4" w:space="0"/>
              <w:right w:val="single" w:color="auto" w:sz="4" w:space="0"/>
            </w:tcBorders>
            <w:shd w:val="clear" w:color="auto" w:fill="auto"/>
            <w:noWrap/>
            <w:vAlign w:val="center"/>
          </w:tcPr>
          <w:p w14:paraId="5063539C">
            <w:pPr>
              <w:pStyle w:val="4"/>
              <w:snapToGrid w:val="0"/>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科学试验综合标准化技术委员会</w:t>
            </w:r>
          </w:p>
        </w:tc>
        <w:tc>
          <w:tcPr>
            <w:tcW w:w="5631" w:type="dxa"/>
            <w:tcBorders>
              <w:top w:val="single" w:color="auto" w:sz="4" w:space="0"/>
              <w:left w:val="nil"/>
              <w:bottom w:val="single" w:color="auto" w:sz="4" w:space="0"/>
              <w:right w:val="single" w:color="auto" w:sz="4" w:space="0"/>
            </w:tcBorders>
            <w:shd w:val="clear" w:color="auto" w:fill="auto"/>
            <w:vAlign w:val="center"/>
          </w:tcPr>
          <w:p w14:paraId="454C17AE">
            <w:pPr>
              <w:pStyle w:val="4"/>
              <w:snapToGrid w:val="0"/>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负责科学试验领域中各专业标准化工作的战略规划、发展路线设计，负责综合性创新科学试验系统与方法相关标准的制修订，负责科学试验领域各专项标准的制修订。</w:t>
            </w:r>
          </w:p>
        </w:tc>
      </w:tr>
    </w:tbl>
    <w:p w14:paraId="5E8A01B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02A"/>
    <w:rsid w:val="005D3404"/>
    <w:rsid w:val="00614FA9"/>
    <w:rsid w:val="006B6AD5"/>
    <w:rsid w:val="00842372"/>
    <w:rsid w:val="00AE65AE"/>
    <w:rsid w:val="00E3302A"/>
    <w:rsid w:val="039C5442"/>
    <w:rsid w:val="18297794"/>
    <w:rsid w:val="3DC86CAB"/>
    <w:rsid w:val="60252BAF"/>
    <w:rsid w:val="64D30865"/>
    <w:rsid w:val="75E80F7A"/>
    <w:rsid w:val="77B21B30"/>
    <w:rsid w:val="77F40705"/>
    <w:rsid w:val="7E4C4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Default"/>
    <w:qFormat/>
    <w:uiPriority w:val="0"/>
    <w:pPr>
      <w:widowControl w:val="0"/>
      <w:autoSpaceDE w:val="0"/>
      <w:autoSpaceDN w:val="0"/>
      <w:adjustRightInd w:val="0"/>
    </w:pPr>
    <w:rPr>
      <w:rFonts w:ascii="仿宋" w:eastAsia="仿宋" w:cs="仿宋"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2024</Words>
  <Characters>2116</Characters>
  <Lines>11</Lines>
  <Paragraphs>3</Paragraphs>
  <TotalTime>4</TotalTime>
  <ScaleCrop>false</ScaleCrop>
  <LinksUpToDate>false</LinksUpToDate>
  <CharactersWithSpaces>2118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2023-02-13T09:42:00Z</dcterms:created>
  <dc:creator>TONG</dc:creator>
  <cp:lastModifiedBy>佟艳春</cp:lastModifiedBy>
  <dcterms:modified xsi:type="dcterms:W3CDTF">2025-02-23T03:17:48Z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eyJoZGlkIjoiYTViM2VlNjQwYTcyNjIyNjcxZGFlMmE2Y2Y5MWRiOWUiLCJ1c2VySWQiOiI0MzA4MjIzMTMifQ==</vt:lpwstr>
  </property>
  <property fmtid="{D5CDD505-2E9C-101B-9397-08002B2CF9AE}" pid="3" name="KSOProductBuildVer">
    <vt:lpwstr>2052-12.1.0.19302</vt:lpwstr>
  </property>
  <property fmtid="{D5CDD505-2E9C-101B-9397-08002B2CF9AE}" pid="4" name="ICV">
    <vt:lpwstr>074A79E12FA447578EB69735A94C4105_13</vt:lpwstr>
  </property>
</Properties>
</file>